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13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806"/>
        <w:gridCol w:w="4807"/>
      </w:tblGrid>
      <w:tr>
        <w:trPr>
          <w:trHeight w:val="255" w:hRule="atLeast"/>
        </w:trPr>
        <w:tc>
          <w:tcPr>
            <w:tcW w:w="4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REGIME DI AVVIO:</w:t>
            </w:r>
          </w:p>
          <w:p>
            <w:pPr>
              <w:pStyle w:val="Normal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18"/>
                <w:szCs w:val="18"/>
              </w:rPr>
              <w:t xml:space="preserve">Segnalazione Certificata di Inizio Attività  </w:t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ex art. 24 della L.R. 12/02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Le informazioni e i dati corrispondono a quelli previsti nella modulistica unificata e standardizzata, approvata dalla Conferenza Unificata  in data 6 luglio 2017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Le sezioni e le informazioni variate sulla base delle diverse disposizioni regionali sono contrassegnate con un asterisco (*)</w:t>
            </w:r>
          </w:p>
        </w:tc>
      </w:tr>
      <w:tr>
        <w:trPr>
          <w:trHeight w:val="255" w:hRule="atLeast"/>
        </w:trPr>
        <w:tc>
          <w:tcPr>
            <w:tcW w:w="4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right"/>
              <w:rPr/>
            </w:pPr>
            <w:r>
              <w:rPr>
                <w:rStyle w:val="Carpredefinitoparagrafo"/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Questo modulo </w:t>
            </w:r>
            <w:r>
              <w:rPr>
                <w:rStyle w:val="Carpredefinitoparagrafo"/>
                <w:rFonts w:ascii="Arial" w:hAnsi="Arial"/>
                <w:b/>
                <w:bCs/>
                <w:color w:val="0000FF"/>
                <w:sz w:val="12"/>
                <w:szCs w:val="12"/>
                <w:u w:val="single"/>
              </w:rPr>
              <w:t>DEVE ESSERE compilato</w:t>
            </w:r>
            <w:r>
              <w:rPr>
                <w:rStyle w:val="Carpredefinitoparagrafo"/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 con OpenOffice o Libre Office</w:t>
            </w:r>
          </w:p>
        </w:tc>
      </w:tr>
      <w:tr>
        <w:trPr>
          <w:trHeight w:val="510" w:hRule="atLeas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1"/>
              <w:numPr>
                <w:ilvl w:val="0"/>
                <w:numId w:val="1"/>
              </w:numPr>
              <w:spacing w:before="240" w:after="120"/>
              <w:rPr/>
            </w:pPr>
            <w:r>
              <w:rPr/>
              <w:t>1. Dati generali dell'intervento</w:t>
            </w:r>
          </w:p>
        </w:tc>
      </w:tr>
      <w:tr>
        <w:trPr>
          <w:trHeight w:val="454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62" w:after="62"/>
              <w:ind w:left="0" w:hanging="0"/>
              <w:rPr/>
            </w:pP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 xml:space="preserve">1.1 </w:t>
            </w:r>
            <w:r>
              <w:rPr>
                <w:rStyle w:val="Carpredefinitoparagrafo"/>
                <w:rFonts w:cs="Arial"/>
                <w:i w:val="false"/>
                <w:iCs w:val="false"/>
                <w:color w:val="0000FF"/>
                <w:sz w:val="20"/>
                <w:szCs w:val="20"/>
              </w:rPr>
              <w:t xml:space="preserve">– </w:t>
            </w: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>Numero della domanda</w:t>
            </w:r>
          </w:p>
        </w:tc>
      </w:tr>
      <w:tr>
        <w:trPr>
          <w:trHeight w:val="515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textAlignment w:val="center"/>
              <w:rPr/>
            </w:pP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 xml:space="preserve">1.2 </w:t>
            </w:r>
            <w:r>
              <w:rPr>
                <w:rStyle w:val="Carpredefinitoparagrafo"/>
                <w:rFonts w:cs="Arial"/>
                <w:i w:val="false"/>
                <w:iCs w:val="false"/>
                <w:color w:val="0000FF"/>
                <w:sz w:val="20"/>
                <w:szCs w:val="20"/>
              </w:rPr>
              <w:t xml:space="preserve">– </w:t>
            </w: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>Titolare dell'esercizio</w:t>
            </w:r>
          </w:p>
        </w:tc>
      </w:tr>
      <w:tr>
        <w:trPr>
          <w:trHeight w:val="415" w:hRule="exact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0"/>
              <w:ind w:left="0" w:hanging="0"/>
              <w:textAlignment w:val="center"/>
              <w:rPr/>
            </w:pP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 xml:space="preserve">1.3 </w:t>
            </w:r>
            <w:r>
              <w:rPr>
                <w:rStyle w:val="Carpredefinitoparagrafo"/>
                <w:rFonts w:cs="Arial"/>
                <w:i w:val="false"/>
                <w:iCs w:val="false"/>
                <w:color w:val="0000FF"/>
                <w:sz w:val="20"/>
                <w:szCs w:val="20"/>
              </w:rPr>
              <w:t xml:space="preserve">– </w:t>
            </w: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>Indirizzo dell'esercizio</w:t>
            </w:r>
          </w:p>
        </w:tc>
      </w:tr>
      <w:tr>
        <w:trPr>
          <w:trHeight w:val="751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left="397" w:hanging="0"/>
              <w:textAlignment w:val="bottom"/>
              <w:rPr/>
            </w:pPr>
            <w:r>
              <w:rPr>
                <w:rStyle w:val="Carpredefinitoparagrafo"/>
                <w:b/>
                <w:bCs/>
                <w:color w:val="000000"/>
                <w:sz w:val="28"/>
                <w:szCs w:val="28"/>
              </w:rPr>
              <w:t>/</w:t>
            </w:r>
          </w:p>
          <w:p>
            <w:pPr>
              <w:pStyle w:val="Normal"/>
              <w:ind w:left="397" w:hanging="0"/>
              <w:textAlignment w:val="bottom"/>
              <w:rPr/>
            </w:pPr>
            <w:r>
              <w:rPr/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720" w:top="1134" w:footer="720" w:bottom="1134" w:gutter="0"/>
          <w:pgNumType w:fmt="decimal"/>
          <w:formProt w:val="false"/>
          <w:textDirection w:val="lrTb"/>
        </w:sectPr>
      </w:pP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4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5"/>
      </w:tblGrid>
      <w:tr>
        <w:trPr>
          <w:trHeight w:val="454" w:hRule="atLeast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Titolo1"/>
              <w:numPr>
                <w:ilvl w:val="0"/>
                <w:numId w:val="1"/>
              </w:numPr>
              <w:spacing w:before="240" w:after="120"/>
              <w:rPr/>
            </w:pPr>
            <w:r>
              <w:rPr/>
              <w:t>2. Specifiche relative all’attività</w:t>
            </w:r>
          </w:p>
        </w:tc>
      </w:tr>
      <w:tr>
        <w:trPr>
          <w:trHeight w:val="149" w:hRule="atLeast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/>
            </w:pPr>
            <w:r>
              <w:rPr>
                <w:rStyle w:val="Carpredefinitoparagrafo"/>
                <w:rFonts w:cs="Arial" w:ascii="Arial" w:hAnsi="Arial"/>
                <w:b/>
                <w:color w:val="0000FF"/>
                <w:sz w:val="20"/>
                <w:szCs w:val="20"/>
              </w:rPr>
              <w:t>2.1 – Avvio dell'attività di panificazione</w:t>
            </w:r>
            <w:r>
              <w:rPr>
                <w:rStyle w:val="Rimandonotaapidipagina"/>
                <w:rStyle w:val="Rimandonotaapidipagina"/>
                <w:rFonts w:cs="Arial" w:ascii="Arial" w:hAnsi="Arial"/>
                <w:b/>
                <w:color w:val="0000FF"/>
                <w:sz w:val="20"/>
                <w:szCs w:val="20"/>
              </w:rPr>
              <w:footnoteReference w:id="2"/>
            </w:r>
          </w:p>
        </w:tc>
      </w:tr>
      <w:tr>
        <w:trPr>
          <w:trHeight w:val="397" w:hRule="atLeast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Attività congiunta di vendita dei prodotti di propria produzione per il consumo immediato sul posto (</w:t>
            </w:r>
            <w:r>
              <w:rPr>
                <w:rStyle w:val="Carpredefinitoparagrafo"/>
                <w:rFonts w:cs="Arial" w:ascii="Arial" w:hAnsi="Arial"/>
                <w:i/>
                <w:iCs/>
                <w:sz w:val="16"/>
                <w:szCs w:val="16"/>
              </w:rPr>
              <w:t>esclusa la somministrazione</w:t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)</w:t>
            </w:r>
            <w:r>
              <w:rPr>
                <w:rStyle w:val="Rimandonotaapidipagina"/>
                <w:rStyle w:val="Rimandonotaapidipagina"/>
                <w:rFonts w:cs="Arial" w:ascii="Arial" w:hAnsi="Arial"/>
                <w:sz w:val="16"/>
                <w:szCs w:val="16"/>
              </w:rPr>
              <w:footnoteReference w:id="3"/>
            </w:r>
          </w:p>
          <w:p>
            <w:pPr>
              <w:pStyle w:val="Normal"/>
              <w:snapToGrid w:val="false"/>
              <w:spacing w:before="0" w:after="57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Si</w:t>
            </w:r>
          </w:p>
          <w:p>
            <w:pPr>
              <w:pStyle w:val="Normal"/>
              <w:snapToGrid w:val="false"/>
              <w:spacing w:before="0" w:after="57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No</w:t>
            </w:r>
          </w:p>
        </w:tc>
      </w:tr>
      <w:tr>
        <w:trPr>
          <w:trHeight w:val="397" w:hRule="atLeast"/>
        </w:trPr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napToGrid w:val="false"/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2.2 Attività collocata in centro commerciale o complesso commerciale/mercato coperto/altra struttura di vendita</w:t>
            </w:r>
          </w:p>
        </w:tc>
      </w:tr>
      <w:tr>
        <w:trPr>
          <w:trHeight w:val="397" w:hRule="atLeast"/>
        </w:trPr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/>
            </w:pPr>
            <w:r>
              <w:rPr>
                <w:rStyle w:val="Carpredefinitoparagrafo"/>
                <w:rFonts w:eastAsia="Arial Unicode MS" w:cs="Tahoma" w:ascii="Arial" w:hAnsi="Arial"/>
                <w:sz w:val="16"/>
                <w:szCs w:val="16"/>
              </w:rPr>
              <w:t>Si denominazione</w:t>
            </w:r>
          </w:p>
          <w:p>
            <w:pPr>
              <w:pStyle w:val="Normal"/>
              <w:snapToGrid w:val="false"/>
              <w:spacing w:before="57" w:after="57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No</w:t>
            </w:r>
          </w:p>
        </w:tc>
      </w:tr>
      <w:tr>
        <w:trPr>
          <w:trHeight w:val="397" w:hRule="atLeast"/>
        </w:trPr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napToGrid w:val="false"/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2.3 Esercizio a carattere</w:t>
            </w:r>
          </w:p>
        </w:tc>
      </w:tr>
      <w:tr>
        <w:trPr>
          <w:trHeight w:val="397" w:hRule="atLeast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snapToGrid w:val="false"/>
              <w:spacing w:before="57" w:after="57"/>
              <w:ind w:left="57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Permanente</w:t>
            </w:r>
          </w:p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snapToGrid w:val="false"/>
              <w:spacing w:before="57" w:after="57"/>
              <w:ind w:left="57" w:hanging="0"/>
              <w:rPr/>
            </w:pPr>
            <w:r>
              <w:rPr>
                <w:rStyle w:val="Carpredefinitoparagrafo"/>
                <w:sz w:val="16"/>
                <w:szCs w:val="16"/>
              </w:rPr>
              <w:t>Stagionale</w:t>
            </w:r>
            <w:r>
              <w:rPr>
                <w:rStyle w:val="Carpredefinitoparagrafo"/>
                <w:i/>
                <w:iCs/>
                <w:sz w:val="16"/>
                <w:szCs w:val="16"/>
              </w:rPr>
              <w:t xml:space="preserve"> </w:t>
            </w:r>
            <w:r>
              <w:rPr>
                <w:rStyle w:val="Carpredefinitoparagrafo"/>
                <w:rFonts w:cs="Arial"/>
                <w:i/>
                <w:iCs/>
                <w:sz w:val="16"/>
                <w:szCs w:val="16"/>
              </w:rPr>
              <w:t>dal</w:t>
            </w:r>
            <w:r>
              <w:rPr>
                <w:rStyle w:val="Carpredefinitoparagrafo"/>
                <w:rFonts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Carpredefinitoparagrafo"/>
                <w:rFonts w:cs="Arial"/>
                <w:i/>
                <w:iCs/>
                <w:sz w:val="16"/>
                <w:szCs w:val="16"/>
              </w:rPr>
              <w:t xml:space="preserve">al    </w:t>
            </w:r>
            <w:r>
              <w:rPr>
                <w:rStyle w:val="Carpredefinitoparagrafo"/>
                <w:rFonts w:cs="Arial"/>
                <w:i/>
                <w:iCs/>
                <w:sz w:val="12"/>
                <w:szCs w:val="12"/>
              </w:rPr>
              <w:t>(gg/mm)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4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799"/>
        <w:gridCol w:w="23"/>
        <w:gridCol w:w="4823"/>
      </w:tblGrid>
      <w:tr>
        <w:trPr>
          <w:trHeight w:val="284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 w:val="true"/>
              <w:snapToGrid w:val="false"/>
              <w:spacing w:before="57" w:after="57"/>
              <w:rPr>
                <w:rFonts w:ascii="Arial" w:hAnsi="Arial" w:eastAsia="Arial Unicode MS" w:cs="Tahoma"/>
                <w:b/>
                <w:b/>
                <w:color w:val="0000FF"/>
                <w:sz w:val="20"/>
                <w:szCs w:val="20"/>
              </w:rPr>
            </w:pPr>
            <w:r>
              <w:rPr>
                <w:rFonts w:eastAsia="Arial Unicode MS" w:cs="Tahoma" w:ascii="Arial" w:hAnsi="Arial"/>
                <w:b/>
                <w:color w:val="0000FF"/>
                <w:sz w:val="20"/>
                <w:szCs w:val="20"/>
              </w:rPr>
              <w:t>2.4 – Dichiarazioni generali ai sensi e per gli effetti degli art. 46 e 47 del D.P.R. 445/2000</w:t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IL SOTTOSCRITTO/LA SOTTOSCRITTA</w:t>
            </w:r>
          </w:p>
        </w:tc>
      </w:tr>
      <w:tr>
        <w:trPr>
          <w:trHeight w:val="397" w:hRule="atLeast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Nome</w:t>
            </w:r>
          </w:p>
        </w:tc>
      </w:tr>
      <w:tr>
        <w:trPr>
          <w:trHeight w:val="397" w:hRule="atLeast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Data di nascita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Codice Fiscale</w:t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Luogo nascita</w:t>
            </w:r>
          </w:p>
        </w:tc>
      </w:tr>
      <w:tr>
        <w:trPr>
          <w:trHeight w:val="397" w:hRule="atLeast"/>
        </w:trPr>
        <w:tc>
          <w:tcPr>
            <w:tcW w:w="482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Comune: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Provincia:</w:t>
            </w:r>
          </w:p>
        </w:tc>
      </w:tr>
      <w:tr>
        <w:trPr>
          <w:trHeight w:val="450" w:hRule="atLeast"/>
        </w:trPr>
        <w:tc>
          <w:tcPr>
            <w:tcW w:w="482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Città estera: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Stato:</w:t>
            </w:r>
          </w:p>
        </w:tc>
      </w:tr>
      <w:tr>
        <w:trPr>
          <w:trHeight w:val="527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consapevole delle sanzioni penali previste dalla legge per le false dichiarazioni e attestazioni (art. 76 del D.P.R. n°445 del 28/12/2000 e Codice penale), sotto la propria responsabilità,</w:t>
            </w:r>
          </w:p>
        </w:tc>
      </w:tr>
      <w:tr>
        <w:trPr>
          <w:trHeight w:val="236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DICHIARA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  <w:r>
        <w:br w:type="page"/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38" w:type="dxa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8"/>
      </w:tblGrid>
      <w:tr>
        <w:trPr>
          <w:trHeight w:val="417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0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di essere il responsabile dell'attività di panificazione e di assicurare:</w:t>
            </w:r>
          </w:p>
          <w:p>
            <w:pPr>
              <w:pStyle w:val="Normal"/>
              <w:numPr>
                <w:ilvl w:val="0"/>
                <w:numId w:val="3"/>
              </w:numPr>
              <w:snapToGrid w:val="false"/>
              <w:spacing w:before="57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l'utilizzo delle materie prime in conformità alle norme vigenti</w:t>
            </w:r>
          </w:p>
          <w:p>
            <w:pPr>
              <w:pStyle w:val="Normal"/>
              <w:numPr>
                <w:ilvl w:val="0"/>
                <w:numId w:val="3"/>
              </w:numPr>
              <w:snapToGrid w:val="false"/>
              <w:spacing w:before="57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l'osservanza delle norme igienico-sanitarie e di sicurezza dei luoghi di lavoro e la qualità del prodotto finito</w:t>
            </w:r>
          </w:p>
          <w:p>
            <w:pPr>
              <w:pStyle w:val="Normal"/>
              <w:snapToGrid w:val="false"/>
              <w:spacing w:before="57" w:after="57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il responsabile dell'attività di panificazione è un soggetto terzo, che ha accettato la designazione e ha compilato le dichiarazioni di possesso dei requisiti morali e professionali</w:t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il consumo</w:t>
            </w:r>
            <w:r>
              <w:rPr>
                <w:rStyle w:val="Carpredefinitoparagrafo"/>
                <w:rFonts w:cs="Arial" w:ascii="Arial" w:hAnsi="Arial"/>
                <w:i/>
                <w:iCs/>
                <w:sz w:val="16"/>
                <w:szCs w:val="16"/>
              </w:rPr>
              <w:t xml:space="preserve"> giornaliero di farina</w:t>
            </w:r>
          </w:p>
          <w:p>
            <w:pPr>
              <w:pStyle w:val="Normal"/>
              <w:snapToGrid w:val="false"/>
              <w:spacing w:before="57" w:after="57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non supera i 300 kg</w:t>
            </w:r>
          </w:p>
          <w:p>
            <w:pPr>
              <w:pStyle w:val="Normal"/>
              <w:snapToGrid w:val="false"/>
              <w:spacing w:before="57" w:after="57"/>
              <w:jc w:val="both"/>
              <w:rPr/>
            </w:pPr>
            <w:r>
              <w:rPr>
                <w:rStyle w:val="Carpredefinitoparagrafo"/>
                <w:rFonts w:cs="Arial" w:ascii="Arial;sans-serif" w:hAnsi="Arial;sans-serif"/>
                <w:sz w:val="16"/>
                <w:szCs w:val="16"/>
              </w:rPr>
              <w:t>è maggiore di 300 kg e non supera i 1500 kg, e pertanto presenta in allegato la documentazione per la richiesta dell’autorizzazione generale o AUA alle emissioni in atmosfera</w:t>
            </w:r>
          </w:p>
          <w:p>
            <w:pPr>
              <w:pStyle w:val="Normal"/>
              <w:snapToGrid w:val="false"/>
              <w:spacing w:before="57" w:after="57"/>
              <w:jc w:val="both"/>
              <w:rPr/>
            </w:pPr>
            <w:r>
              <w:rPr>
                <w:rStyle w:val="Carpredefinitoparagrafo"/>
                <w:rFonts w:cs="Arial" w:ascii="Arial;sans-serif" w:hAnsi="Arial;sans-serif"/>
                <w:sz w:val="16"/>
                <w:szCs w:val="16"/>
              </w:rPr>
              <w:t>supera i 1500 kg, e pertanto presenta in allegato la documentazione per la richiesta di AUA per l’autorizzazione ordinaria alle emissioni in atmosfera</w:t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TextBody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il consumo idrico giornaliero:</w:t>
            </w:r>
          </w:p>
          <w:p>
            <w:pPr>
              <w:pStyle w:val="TextBody"/>
              <w:snapToGrid w:val="false"/>
              <w:spacing w:before="57" w:after="57"/>
              <w:ind w:left="283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non supera i 5 mc nel periodo di massima attività</w:t>
            </w:r>
          </w:p>
          <w:p>
            <w:pPr>
              <w:pStyle w:val="TextBody"/>
              <w:snapToGrid w:val="false"/>
              <w:spacing w:before="57" w:after="57"/>
              <w:ind w:left="283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supera i 5 mc nel periodo di massima attività, e pertanto presenta in allegato la documentazione per la richiesta di AUA per gli scarichi di acque reflue</w:t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TextBody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dichiara inoltre, relativamente ai locali di attività, di aver rispettato:</w:t>
            </w:r>
          </w:p>
          <w:p>
            <w:pPr>
              <w:pStyle w:val="TextBody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 regolamenti locali di polizia urbana, annonaria e di igiene e sanità, i regolamenti edilizi e le norme urbanistiche, ambientali, di sicurezza sui luoghi di lavoro nonché quelle relative alle destinazioni d'uso</w:t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impegnarsi a comunicare ogni variazione relativa a stati, fatti, condizioni e titolarità rispetto a quanto dichiarato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38" w:type="dxa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8"/>
      </w:tblGrid>
      <w:tr>
        <w:trPr>
          <w:trHeight w:val="34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57" w:after="57"/>
              <w:jc w:val="center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rFonts w:cs="Arial" w:ascii="Arial" w:hAnsi="Arial"/>
                <w:b/>
                <w:color w:val="0000FF"/>
                <w:sz w:val="16"/>
                <w:szCs w:val="16"/>
              </w:rPr>
              <w:t>Dichiarazioni specifiche in materia di gioco lecito (selezionare un'opzione)</w:t>
            </w:r>
            <w:r>
              <w:rPr>
                <w:rStyle w:val="Rimandonotaapidipagina"/>
                <w:rStyle w:val="Rimandonotaapidipagina"/>
                <w:rFonts w:cs="Arial" w:ascii="Arial" w:hAnsi="Arial"/>
                <w:b/>
                <w:color w:val="0000FF"/>
                <w:sz w:val="16"/>
                <w:szCs w:val="16"/>
              </w:rPr>
              <w:footnoteReference w:id="4"/>
            </w:r>
          </w:p>
        </w:tc>
      </w:tr>
      <w:tr>
        <w:trPr>
          <w:trHeight w:val="294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non detenere alcun apparecchio per il gioco lecito</w:t>
            </w:r>
          </w:p>
        </w:tc>
      </w:tr>
      <w:tr>
        <w:trPr>
          <w:trHeight w:val="294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di detenere n. apparecchi per il gioco lecito collegati alla rete telematica SOGEI a una distanza superiore a 500 metri dai luoghi sensibili   </w:t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detenere n. apparecchi per il gioco lecito collegati alla rete telematica SOGEI in data anteriore al 3 agosto 2017, a una distanza inferiore a 500 metri dai luoghi sensibili;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 tal caso è consapevole dell'obbligo di rimozione degli apparecchi da gioco, nei termini previsti dall'art. 7 della Legge regionale 17 luglio 2017, n. 26, ovvero: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a) entro cinque anni qualora si tratti di sale da gioco o sale scommesse (3 agosto 2022);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b) entro tre anni nel caso di qualsiasi altra attività (3 agosto 2020)</w:t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di detenere n. apparecchi per il gioco lecito collegati alla rete telematica SOGEI in data anteriore al 3 agosto 2017, a una distanza inferiore a 500 metri dai luoghi sensibili, ma di avvalersi della deroga prevista dall'art.6, comma 11 della L.R. 1/2014</w:t>
            </w:r>
            <w:r>
              <w:rPr>
                <w:rStyle w:val="Rimandonotaapidipagina"/>
                <w:rStyle w:val="Rimandonotaapidipagina"/>
                <w:rFonts w:cs="Arial" w:ascii="Arial" w:hAnsi="Arial"/>
                <w:sz w:val="16"/>
                <w:szCs w:val="16"/>
              </w:rPr>
              <w:footnoteReference w:id="5"/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collocare n. nuovi apparecchi per il gioco lecito a una distanza superiore a 500 metri dai luoghi sensibili</w:t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sostituire apparecchi per il gioco lecito già collegati alla rete telematica SOGEI:</w:t>
            </w:r>
          </w:p>
          <w:p>
            <w:pPr>
              <w:pStyle w:val="Normal"/>
              <w:snapToGrid w:val="false"/>
              <w:spacing w:before="57" w:after="0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di cui n.   per vetustà</w:t>
            </w:r>
            <w:r>
              <w:rPr>
                <w:rStyle w:val="Rimandonotaapidipagina"/>
                <w:rStyle w:val="Rimandonotaapidipagina"/>
                <w:rFonts w:cs="Arial" w:ascii="Arial" w:hAnsi="Arial"/>
                <w:sz w:val="16"/>
                <w:szCs w:val="16"/>
              </w:rPr>
              <w:footnoteReference w:id="6"/>
            </w:r>
          </w:p>
          <w:p>
            <w:pPr>
              <w:pStyle w:val="Normal"/>
              <w:snapToGrid w:val="false"/>
              <w:spacing w:before="57" w:after="0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di cui n.   per guasto</w:t>
            </w:r>
            <w:r>
              <w:rPr>
                <w:rStyle w:val="Rimandonotaapidipagina"/>
                <w:rStyle w:val="Rimandonotaapidipagina"/>
                <w:rFonts w:cs="Arial" w:ascii="Arial" w:hAnsi="Arial"/>
                <w:sz w:val="16"/>
                <w:szCs w:val="16"/>
              </w:rPr>
              <w:footnoteReference w:id="7"/>
            </w:r>
          </w:p>
          <w:p>
            <w:pPr>
              <w:pStyle w:val="Normal"/>
              <w:snapToGrid w:val="false"/>
              <w:spacing w:before="57" w:after="0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(</w:t>
            </w:r>
            <w:r>
              <w:rPr>
                <w:rStyle w:val="Carpredefinitoparagrafo"/>
                <w:rFonts w:cs="Arial" w:ascii="Arial" w:hAnsi="Arial"/>
                <w:i/>
                <w:iCs/>
                <w:sz w:val="16"/>
                <w:szCs w:val="16"/>
              </w:rPr>
              <w:t>specificare il motivo della vetustà o guasto come previsto dall'art. 6, comma 6, secondo capoverso della L.R. 1/14</w:t>
            </w:r>
            <w:r>
              <w:rPr>
                <w:rStyle w:val="Rimandonotaapidipagina"/>
                <w:rStyle w:val="Rimandonotaapidipagina"/>
                <w:rFonts w:cs="Arial" w:ascii="Arial" w:hAnsi="Arial"/>
                <w:i/>
                <w:iCs/>
                <w:sz w:val="16"/>
                <w:szCs w:val="16"/>
              </w:rPr>
              <w:footnoteReference w:id="8"/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)</w:t>
            </w:r>
          </w:p>
          <w:p>
            <w:pPr>
              <w:pStyle w:val="Normal"/>
              <w:snapToGrid w:val="false"/>
              <w:spacing w:before="57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collocati a una distanza: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</w:t>
            </w:r>
            <w:r>
              <w:rPr>
                <w:rFonts w:cs="Arial" w:ascii="Arial" w:hAnsi="Arial"/>
                <w:sz w:val="16"/>
                <w:szCs w:val="16"/>
              </w:rPr>
              <w:t>superiore a 500 metri dai luoghi sensibili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</w:t>
            </w:r>
            <w:r>
              <w:rPr>
                <w:rFonts w:cs="Arial" w:ascii="Arial" w:hAnsi="Arial"/>
                <w:sz w:val="16"/>
                <w:szCs w:val="16"/>
              </w:rPr>
              <w:t>inferiore a 500 metri dai luoghi sensibili; in tal caso è consapevole dell'obbligo di rimozione degli apparecchi da gioco, nei termini previsti dall'art. 7 della Legge regionale 17 luglio 2017, n. 26, ovvero: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a) entro cinque anni qualora si tratti di sale da gioco o sale scommesse (3 agosto 2022);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b) entro tre anni nel caso di qualsiasi altra attività (3 agosto 2020)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>INFORMATIVA SULLA PRIVACY (ART. 13 del d.lgs. n. 196/2003)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Finalità del trattamento. I dati personali saranno utilizzati dagli uffici nell’ambito del procedimento per il quale la dichiarazione viene resa.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Modalità del trattamento. I dati saranno trattati dagli incaricati sia con strumenti cartacei sia con strumenti informatici a disposizione degli uffici.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Titolare del trattamento: SUAP in cui è localizzata l'attività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Il/la sottoscritto/a dichiara di aver letto l’informativa sul trattamento dei dati personali.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19" w:type="dxa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353"/>
        <w:gridCol w:w="4266"/>
      </w:tblGrid>
      <w:tr>
        <w:trPr/>
        <w:tc>
          <w:tcPr>
            <w:tcW w:w="9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TableContents"/>
              <w:ind w:left="79" w:right="-85" w:hanging="0"/>
              <w:rPr>
                <w:b/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3. Opzioni di firma</w:t>
            </w:r>
          </w:p>
        </w:tc>
      </w:tr>
      <w:tr>
        <w:trPr/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TableContents"/>
              <w:snapToGrid w:val="false"/>
              <w:spacing w:before="57" w:after="57"/>
              <w:ind w:left="57" w:right="131" w:hanging="0"/>
              <w:jc w:val="both"/>
              <w:rPr/>
            </w:pPr>
            <w:r>
              <w:rPr>
                <w:rStyle w:val="Carpredefinitoparagrafo"/>
                <w:rFonts w:cs="Arial"/>
                <w:b/>
                <w:bCs/>
                <w:sz w:val="16"/>
                <w:szCs w:val="16"/>
              </w:rPr>
              <w:t>In caso sia stata conferita procura speciale</w:t>
            </w:r>
            <w:r>
              <w:rPr>
                <w:rStyle w:val="Carpredefinitoparagrafo"/>
                <w:rFonts w:cs="Arial"/>
                <w:sz w:val="16"/>
                <w:szCs w:val="16"/>
              </w:rPr>
              <w:t xml:space="preserve">, il presente documento è sottoscritto con </w:t>
            </w:r>
            <w:r>
              <w:rPr>
                <w:rStyle w:val="Carpredefinitoparagrafo"/>
                <w:rFonts w:cs="Arial"/>
                <w:b/>
                <w:bCs/>
                <w:sz w:val="16"/>
                <w:szCs w:val="16"/>
              </w:rPr>
              <w:t>firma autografa</w:t>
            </w:r>
            <w:r>
              <w:rPr>
                <w:rStyle w:val="Carpredefinitoparagrafo"/>
                <w:rFonts w:cs="Arial"/>
                <w:sz w:val="16"/>
                <w:szCs w:val="16"/>
              </w:rPr>
              <w:t xml:space="preserve"> dal soggetto delegante e conservato in originale dal procuratore, il quale provvederà a firmare digitalmente il modulo inviato al SUAP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57" w:after="0"/>
              <w:ind w:left="10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(Firma autografa in questo spazio)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21" w:type="dxa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103" w:type="dxa"/>
          <w:bottom w:w="108" w:type="dxa"/>
          <w:right w:w="108" w:type="dxa"/>
        </w:tblCellMar>
      </w:tblPr>
      <w:tblGrid>
        <w:gridCol w:w="9621"/>
      </w:tblGrid>
      <w:tr>
        <w:trPr>
          <w:trHeight w:val="284" w:hRule="atLeast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Note di compilazione</w:t>
            </w:r>
          </w:p>
          <w:p>
            <w:pPr>
              <w:pStyle w:val="Normal"/>
              <w:snapToGrid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 seguito dell'Accordo raggiunto sulla modulistica unificata e standardizzata, approvata dalla Conferenza Unificata  in data 6 luglio 2017: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1) Non potranno più essere richiesti certificati, atti e documenti che la Pubblica Amministrazione già possiede (per esempio: le certificazioni relative ai titoli di studio o professionali, richiesti per avviare alcune attività, la certificazione antimafia, etc.), ma solo gli elementi che consentano all'amministrazione di acquisirli o di effettuare i relativi controlli, anche a campione (articolo 18, legge n. 241 del 1990).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2) Non potranno più essere richiesti dati e adempimenti che derivano da prassi amministrative, ma che non sono espressamente previsti dalla legge (ad esempio: non potrà più essere richiesto il certificato di agibilità dei locali per l'avvio di un'attività commerciale o produttiva). Sarà sufficiente una semplice dichiarazione di conformità ai regolamenti urbanistici, igienico sanitari, etc.</w:t>
            </w:r>
          </w:p>
        </w:tc>
      </w:tr>
    </w:tbl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Per le attività da svolgere su suolo pubblico, è necessario avere la relativa concessione.</w:t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e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2409"/>
        <w:gridCol w:w="7229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Quadro riepilogativo della documentazione allegata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Il sistema SUAP in rete propone automaticamente i moduli e gli allegati necessari per il procedimento scelto</w:t>
            </w:r>
          </w:p>
        </w:tc>
      </w:tr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Procura/delega</w:t>
            </w:r>
          </w:p>
        </w:tc>
        <w:tc>
          <w:tcPr>
            <w:tcW w:w="7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 caso di procura/delega a presentare la segnalazione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Copia del documento di identità del/i titolare/i</w:t>
            </w:r>
          </w:p>
        </w:tc>
        <w:tc>
          <w:tcPr>
            <w:tcW w:w="7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 caso in cui la segnalazione non sia sottoscritta in forma digitale e in assenza di procura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Dichiarazioni sul possesso dei requisiti da parte degli altri soci + copia del documento di identità</w:t>
            </w:r>
          </w:p>
        </w:tc>
        <w:tc>
          <w:tcPr>
            <w:tcW w:w="7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Sempre, in presenza di soggetti (es. soci) diversi dal dichiarante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Dichiarazioni sul possesso dei requisiti da parte del responsabile dell'attività produttiva + copia del documento di identità</w:t>
            </w:r>
          </w:p>
        </w:tc>
        <w:tc>
          <w:tcPr>
            <w:tcW w:w="7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Sempre, in presenza di un responsabile diverso dal dichiarante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864"/>
        <w:gridCol w:w="5774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SEGNALAZIONI, COMUNICAZIONI O DOMANDE COLLEGATE (utilizzando il sistema telematico)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Segnalazioni e comunicazioni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Notifica sanitaria (art. 6, Reg.CE n. 852/2004)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Sempre obbligatoria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SCIA prevenzione incendi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 caso di impianti per la produzione di calore con potenzialità superiore a 116 kw o utilizzo di impianti di produzione calore alimentati a combustibile solido, liquido o gassoso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SCIA per insegna di esercizio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attività che preveda insegna esterna (dove è prevista la SCIA)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Autorizzazioni</w:t>
            </w:r>
          </w:p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Il/la sottoscritto/a è consapevole di non poter iniziare l’attività fino al rilascio dei relativi atti di assenso, che verrà comunicato dallo Sportello Unico.</w:t>
            </w:r>
          </w:p>
        </w:tc>
      </w:tr>
      <w:tr>
        <w:trPr/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richiesta di autorizzazione per insegna di esercizio</w:t>
            </w:r>
          </w:p>
        </w:tc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attività che preveda insegna esterna (dove è prevista la domanda di autorizzazione)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la richiesta dell’autorizzazione generale o AUA (nel caso di più autorizzazioni) alle emissioni in atmosfera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 caso di panificazione, pasticceria e affini con consumo di farina giornaliero &gt;300 kg e ≤ 1500 kg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ind w:left="57" w:hanging="0"/>
              <w:rPr/>
            </w:pPr>
            <w:r>
              <w:rPr>
                <w:rStyle w:val="Carpredefinitoparagrafo"/>
                <w:rFonts w:ascii="Arial" w:hAnsi="Arial"/>
                <w:i/>
                <w:iCs/>
                <w:sz w:val="12"/>
                <w:szCs w:val="12"/>
              </w:rPr>
              <w:t>Da applicarsi qualora le Regioni non abbiano adottato specifiche autorizzazioni generali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la richiesta di AUA per l’autorizzazione ordinaria alle emissioni in atmosfera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 caso di panificazione, pasticceria e affini con consumo di farina &gt; 1500 kg/giorno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la richiesta di AUA per gli scarichi di acque reflue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 caso di produzione con un consumo idrico giornaliero superiore a 5 mc nel periodo di massima attività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la richiesta di autorizzazione in deroga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 caso di attività ubicata in locali sotterranei o semisotterranei che non dia luogo a emissioni di agenti nocivi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5376"/>
        <w:gridCol w:w="4262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ALTRI ALLEGATI (attestazioni relative al versamento di oneri, diritti, etc. e dell’imposta di bollo)</w:t>
            </w:r>
          </w:p>
        </w:tc>
      </w:tr>
      <w:tr>
        <w:trPr/>
        <w:tc>
          <w:tcPr>
            <w:tcW w:w="53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5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Attestazione del versamento di oneri, di diritti, ecc.(*)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Nella misura e con le modalità indicate sul sito dell’amministrazione</w:t>
            </w:r>
          </w:p>
        </w:tc>
      </w:tr>
      <w:tr>
        <w:trPr/>
        <w:tc>
          <w:tcPr>
            <w:tcW w:w="53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Attestazione del versamento dell’imposta di bollo: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estremi del codice identificativo della marca da bollo, che deve essere annullata e conservata dall’interessato;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ovvero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Assolvimento dell’imposta di bollo con le altre modalità previste, anche in modalità virtuale o tramite @bollo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Obbligatoria per la presentazione di una domanda contestuale alla SCIA (SCIA condizionata)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Arial">
    <w:altName w:val="sans-serif"/>
    <w:charset w:val="00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rStyle w:val="Carpredefinitoparagrafo"/>
        <w:rFonts w:ascii="Arial" w:hAnsi="Arial"/>
        <w:sz w:val="16"/>
        <w:szCs w:val="16"/>
      </w:rPr>
      <w:t>/</w:t>
    </w: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  <w:r>
      <w:rPr>
        <w:rStyle w:val="Carpredefinitoparagrafo"/>
        <w:rFonts w:ascii="Arial" w:hAnsi="Arial"/>
        <w:sz w:val="16"/>
        <w:szCs w:val="16"/>
      </w:rPr>
      <w:t>/</w:t>
    </w: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/>
        <w:footnoteRef/>
        <w:tab/>
        <w:t>L'attività di panificazione è ascrivibile alle imprese:</w:t>
      </w:r>
    </w:p>
    <w:p>
      <w:pPr>
        <w:pStyle w:val="Footnote"/>
        <w:numPr>
          <w:ilvl w:val="0"/>
          <w:numId w:val="2"/>
        </w:numPr>
        <w:rPr/>
      </w:pPr>
      <w:r>
        <w:rPr/>
        <w:tab/>
        <w:t>che sono abilitate ad attivare un impianto di panificazione che per struttura e organizzazione del lavoro sono in grado di esercitare, nel proprio ambito, l'intero ciclo di produzione del pane, dalla lavorazione delle materie prime fino alla cottura del pane stesso;</w:t>
      </w:r>
    </w:p>
    <w:p>
      <w:pPr>
        <w:pStyle w:val="Footnote"/>
        <w:numPr>
          <w:ilvl w:val="0"/>
          <w:numId w:val="2"/>
        </w:numPr>
        <w:rPr/>
      </w:pPr>
      <w:r>
        <w:rPr/>
        <w:tab/>
        <w:t>che sono abilitate ad attivare un impianto di panificazione finalizzato alla produzione di impasti da pane o alla cottura completa degli stessi e che per struttura e organizzazione del lavoro sono in grado di esercitare, nel proprio ambito, il ciclo di produzione volto all'ottenimento di tali prodotti.</w:t>
      </w:r>
    </w:p>
    <w:p>
      <w:pPr>
        <w:pStyle w:val="Footnote"/>
        <w:ind w:left="0" w:hanging="0"/>
        <w:rPr/>
      </w:pPr>
      <w:r>
        <w:rPr/>
        <w:tab/>
        <w:t>Non è considerata impresa di panificazione l'esercizio commerciale che si limita al completamento della cottura del pane parzialmente cotto, surgelato o non</w:t>
      </w:r>
    </w:p>
  </w:footnote>
  <w:footnote w:id="3">
    <w:p>
      <w:pPr>
        <w:pStyle w:val="Footnote"/>
        <w:rPr/>
      </w:pPr>
      <w:r>
        <w:rPr/>
        <w:footnoteRef/>
        <w:tab/>
        <w:t>Come previsto dall'art.4, comma 2 del D.L. n. 223/2006, convertito con modificazioni dalla L. n. 248 del 2006 e dalle disposizioni regionali di settore.</w:t>
      </w:r>
    </w:p>
  </w:footnote>
  <w:footnote w:id="4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 xml:space="preserve">Le dichiarazioni sono rese ai sensi della  legge regionale </w:t>
      </w:r>
      <w:hyperlink r:id="rId1" w:tgtFrame="_top">
        <w:r>
          <w:rPr>
            <w:rStyle w:val="Carpredefinitoparagrafo"/>
            <w:sz w:val="12"/>
            <w:szCs w:val="12"/>
          </w:rPr>
          <w:t xml:space="preserve">14 febbraio 2014, n. 1 </w:t>
        </w:r>
      </w:hyperlink>
      <w:r>
        <w:rPr>
          <w:rStyle w:val="Carpredefinitoparagrafo"/>
          <w:sz w:val="12"/>
          <w:szCs w:val="12"/>
        </w:rPr>
        <w:t>(disposizioni per la prevenzione, il trattamento e il contrasto della dipendenza da gioco d'azzardo, nonché delle problematiche e patologie correlate) e della Legge regionale</w:t>
      </w:r>
      <w:r>
        <w:rPr>
          <w:rStyle w:val="Carpredefinitoparagrafo"/>
          <w:rFonts w:cs="Arial"/>
          <w:sz w:val="12"/>
          <w:szCs w:val="12"/>
        </w:rPr>
        <w:t xml:space="preserve"> </w:t>
      </w:r>
      <w:hyperlink r:id="rId2" w:tgtFrame="_top">
        <w:r>
          <w:rPr>
            <w:rStyle w:val="Carpredefinitoparagrafo"/>
            <w:rFonts w:cs="Arial"/>
            <w:sz w:val="12"/>
            <w:szCs w:val="12"/>
          </w:rPr>
          <w:t>17 luglio 2017, n. 26</w:t>
        </w:r>
      </w:hyperlink>
      <w:r>
        <w:rPr>
          <w:rStyle w:val="Carpredefinitoparagrafo"/>
          <w:rFonts w:cs="Arial"/>
          <w:sz w:val="12"/>
          <w:szCs w:val="12"/>
        </w:rPr>
        <w:t xml:space="preserve"> Modifiche alla legge regionale 14 febbraio 2014, n. 1</w:t>
      </w:r>
    </w:p>
  </w:footnote>
  <w:footnote w:id="5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11. Il divieto di cui al comma 1 non si applica qualora l'insediamento dell'attività qualificata come luogo sensibile ai sensi della presente legge sia successivo alla installazione degli apparecchi per il gioco lecito o all'insediamento dell'attività di raccolta di scommesse</w:t>
      </w:r>
    </w:p>
  </w:footnote>
  <w:footnote w:id="6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"</w:t>
      </w:r>
      <w:r>
        <w:rPr>
          <w:rStyle w:val="Carpredefinitoparagrafo"/>
          <w:b/>
          <w:bCs/>
          <w:sz w:val="12"/>
          <w:szCs w:val="12"/>
        </w:rPr>
        <w:t>vetustà dell'apparecchio per il gioco lecito</w:t>
      </w:r>
      <w:r>
        <w:rPr>
          <w:rStyle w:val="Carpredefinitoparagrafo"/>
          <w:sz w:val="12"/>
          <w:szCs w:val="12"/>
        </w:rPr>
        <w:t>": la sopravvenuta inadeguatezza tecnica dell'apparecchio per il gioco lecito rispetto a requisiti previsti dalla normativa vigente</w:t>
      </w:r>
    </w:p>
  </w:footnote>
  <w:footnote w:id="7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"</w:t>
      </w:r>
      <w:r>
        <w:rPr>
          <w:rStyle w:val="Carpredefinitoparagrafo"/>
          <w:b/>
          <w:bCs/>
          <w:sz w:val="12"/>
          <w:szCs w:val="12"/>
        </w:rPr>
        <w:t>guasto dell'apparecchio per il gioco lecito</w:t>
      </w:r>
      <w:r>
        <w:rPr>
          <w:rStyle w:val="Carpredefinitoparagrafo"/>
          <w:sz w:val="12"/>
          <w:szCs w:val="12"/>
        </w:rPr>
        <w:t>": il malfunzionamento irreparabile dell'apparecchio per il gioco lecito che lo rende inservibile al suo scopo</w:t>
      </w:r>
    </w:p>
  </w:footnote>
  <w:footnote w:id="8">
    <w:p>
      <w:pPr>
        <w:pStyle w:val="Footnote"/>
        <w:rPr/>
      </w:pPr>
      <w:r>
        <w:rPr/>
        <w:footnoteRef/>
        <w:tab/>
        <w:t xml:space="preserve">Nei casi di cui al comma 4 (cioè sostituzione per vetustà o guasto), la comunicazione </w:t>
      </w:r>
      <w:r>
        <w:rPr>
          <w:rStyle w:val="Carpredefinitoparagrafo"/>
          <w:b/>
          <w:bCs/>
        </w:rPr>
        <w:t>specifica le cause che rendono necessaria la sostituzione degli apparecchi</w:t>
      </w:r>
      <w:r>
        <w:rPr/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Style w:val="Carpredefinitoparagrafo"/>
        <w:rFonts w:cs="Arial" w:ascii="Arial" w:hAnsi="Arial"/>
        <w:b/>
        <w:bCs/>
        <w:color w:val="999999"/>
        <w:sz w:val="18"/>
        <w:szCs w:val="18"/>
      </w:rPr>
      <w:t>B18 – Panificazione</w:t>
    </w:r>
  </w:p>
  <w:p>
    <w:pPr>
      <w:pStyle w:val="Normal"/>
      <w:rPr>
        <w:rFonts w:ascii="Arial" w:hAnsi="Arial" w:cs="Arial"/>
        <w:b/>
        <w:b/>
        <w:bCs/>
        <w:color w:val="999999"/>
        <w:sz w:val="16"/>
        <w:szCs w:val="16"/>
      </w:rPr>
    </w:pPr>
    <w:r>
      <w:rPr>
        <w:rFonts w:cs="Arial" w:ascii="Arial" w:hAnsi="Arial"/>
        <w:b/>
        <w:bCs/>
        <w:color w:val="999999"/>
        <w:sz w:val="16"/>
        <w:szCs w:val="16"/>
      </w:rPr>
      <w:t>Data ultima versione del modello: 30/09/2017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Style w:val="Carpredefinitoparagrafo"/>
        <w:rFonts w:cs="Arial" w:ascii="Arial" w:hAnsi="Arial"/>
        <w:b/>
        <w:bCs/>
        <w:color w:val="999999"/>
        <w:sz w:val="18"/>
        <w:szCs w:val="18"/>
      </w:rPr>
      <w:t>B18 – Panificazione</w:t>
    </w:r>
  </w:p>
  <w:p>
    <w:pPr>
      <w:pStyle w:val="Normal"/>
      <w:rPr>
        <w:rFonts w:ascii="Arial" w:hAnsi="Arial" w:cs="Arial"/>
        <w:b/>
        <w:b/>
        <w:bCs/>
        <w:color w:val="999999"/>
        <w:sz w:val="16"/>
        <w:szCs w:val="16"/>
      </w:rPr>
    </w:pPr>
    <w:r>
      <w:rPr>
        <w:rFonts w:cs="Arial" w:ascii="Arial" w:hAnsi="Arial"/>
        <w:b/>
        <w:bCs/>
        <w:color w:val="999999"/>
        <w:sz w:val="16"/>
        <w:szCs w:val="16"/>
      </w:rPr>
      <w:t>Data ultima versione del modello: 30/09/2017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decimal"/>
      <w:lvlText w:val="%1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12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ind w:left="1072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ind w:left="1432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ind w:left="1792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ind w:left="2152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ind w:left="2512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ind w:left="2872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ind w:left="3232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ind w:left="3592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NumberingSymbols">
    <w:name w:val="Numbering Symbols"/>
    <w:qFormat/>
    <w:rPr/>
  </w:style>
  <w:style w:type="character" w:styleId="WW8Num3z0">
    <w:name w:val="WW8Num3z0"/>
    <w:qFormat/>
    <w:rPr>
      <w:rFonts w:ascii="Symbol" w:hAnsi="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position w:val="24"/>
      <w:sz w:val="16"/>
    </w:rPr>
  </w:style>
  <w:style w:type="character" w:styleId="WWCharLFO3LVL1">
    <w:name w:val="WW_CharLFO3LVL1"/>
    <w:qFormat/>
    <w:rPr>
      <w:rFonts w:ascii="Symbol" w:hAnsi="Symbol"/>
    </w:rPr>
  </w:style>
  <w:style w:type="character" w:styleId="Rimandonotaapidipagina">
    <w:name w:val="Rimando nota a piè di pagina"/>
    <w:basedOn w:val="Carpredefinitoparagrafo"/>
    <w:qFormat/>
    <w:rPr>
      <w:position w:val="24"/>
      <w:sz w:val="16"/>
    </w:rPr>
  </w:style>
  <w:style w:type="character" w:styleId="WWCharLFO4LVL1">
    <w:name w:val="WW_CharLFO4LVL1"/>
    <w:qFormat/>
    <w:rPr>
      <w:rFonts w:ascii="OpenSymbol" w:hAnsi="OpenSymbol" w:eastAsia="OpenSymbol" w:cs="OpenSymbol"/>
    </w:rPr>
  </w:style>
  <w:style w:type="character" w:styleId="WWCharLFO4LVL2">
    <w:name w:val="WW_CharLFO4LVL2"/>
    <w:qFormat/>
    <w:rPr>
      <w:rFonts w:ascii="OpenSymbol" w:hAnsi="OpenSymbol" w:eastAsia="OpenSymbol" w:cs="OpenSymbol"/>
    </w:rPr>
  </w:style>
  <w:style w:type="character" w:styleId="WWCharLFO4LVL3">
    <w:name w:val="WW_CharLFO4LVL3"/>
    <w:qFormat/>
    <w:rPr>
      <w:rFonts w:ascii="OpenSymbol" w:hAnsi="OpenSymbol" w:eastAsia="OpenSymbol" w:cs="OpenSymbol"/>
    </w:rPr>
  </w:style>
  <w:style w:type="character" w:styleId="WWCharLFO4LVL4">
    <w:name w:val="WW_CharLFO4LVL4"/>
    <w:qFormat/>
    <w:rPr>
      <w:rFonts w:ascii="OpenSymbol" w:hAnsi="OpenSymbol" w:eastAsia="OpenSymbol" w:cs="OpenSymbol"/>
    </w:rPr>
  </w:style>
  <w:style w:type="character" w:styleId="WWCharLFO4LVL5">
    <w:name w:val="WW_CharLFO4LVL5"/>
    <w:qFormat/>
    <w:rPr>
      <w:rFonts w:ascii="OpenSymbol" w:hAnsi="OpenSymbol" w:eastAsia="OpenSymbol" w:cs="OpenSymbol"/>
    </w:rPr>
  </w:style>
  <w:style w:type="character" w:styleId="WWCharLFO4LVL6">
    <w:name w:val="WW_CharLFO4LVL6"/>
    <w:qFormat/>
    <w:rPr>
      <w:rFonts w:ascii="OpenSymbol" w:hAnsi="OpenSymbol" w:eastAsia="OpenSymbol" w:cs="OpenSymbol"/>
    </w:rPr>
  </w:style>
  <w:style w:type="character" w:styleId="WWCharLFO4LVL7">
    <w:name w:val="WW_CharLFO4LVL7"/>
    <w:qFormat/>
    <w:rPr>
      <w:rFonts w:ascii="OpenSymbol" w:hAnsi="OpenSymbol" w:eastAsia="OpenSymbol" w:cs="OpenSymbol"/>
    </w:rPr>
  </w:style>
  <w:style w:type="character" w:styleId="WWCharLFO4LVL8">
    <w:name w:val="WW_CharLFO4LVL8"/>
    <w:qFormat/>
    <w:rPr>
      <w:rFonts w:ascii="OpenSymbol" w:hAnsi="OpenSymbol" w:eastAsia="OpenSymbol" w:cs="OpenSymbol"/>
    </w:rPr>
  </w:style>
  <w:style w:type="character" w:styleId="WWCharLFO4LVL9">
    <w:name w:val="WW_CharLFO4LVL9"/>
    <w:qFormat/>
    <w:rPr>
      <w:rFonts w:ascii="OpenSymbol" w:hAnsi="OpenSymbol" w:eastAsia="OpenSymbol" w:cs="OpenSymbol"/>
    </w:rPr>
  </w:style>
  <w:style w:type="character" w:styleId="WWCharLFO5LVL1">
    <w:name w:val="WW_CharLFO5LVL1"/>
    <w:qFormat/>
    <w:rPr>
      <w:rFonts w:ascii="OpenSymbol" w:hAnsi="OpenSymbol" w:eastAsia="OpenSymbol" w:cs="OpenSymbol"/>
    </w:rPr>
  </w:style>
  <w:style w:type="character" w:styleId="WWCharLFO5LVL2">
    <w:name w:val="WW_CharLFO5LVL2"/>
    <w:qFormat/>
    <w:rPr>
      <w:rFonts w:ascii="OpenSymbol" w:hAnsi="OpenSymbol" w:eastAsia="OpenSymbol" w:cs="OpenSymbol"/>
    </w:rPr>
  </w:style>
  <w:style w:type="character" w:styleId="WWCharLFO5LVL3">
    <w:name w:val="WW_CharLFO5LVL3"/>
    <w:qFormat/>
    <w:rPr>
      <w:rFonts w:ascii="OpenSymbol" w:hAnsi="OpenSymbol" w:eastAsia="OpenSymbol" w:cs="OpenSymbol"/>
    </w:rPr>
  </w:style>
  <w:style w:type="character" w:styleId="WWCharLFO5LVL4">
    <w:name w:val="WW_CharLFO5LVL4"/>
    <w:qFormat/>
    <w:rPr>
      <w:rFonts w:ascii="OpenSymbol" w:hAnsi="OpenSymbol" w:eastAsia="OpenSymbol" w:cs="OpenSymbol"/>
    </w:rPr>
  </w:style>
  <w:style w:type="character" w:styleId="WWCharLFO5LVL5">
    <w:name w:val="WW_CharLFO5LVL5"/>
    <w:qFormat/>
    <w:rPr>
      <w:rFonts w:ascii="OpenSymbol" w:hAnsi="OpenSymbol" w:eastAsia="OpenSymbol" w:cs="OpenSymbol"/>
    </w:rPr>
  </w:style>
  <w:style w:type="character" w:styleId="WWCharLFO5LVL6">
    <w:name w:val="WW_CharLFO5LVL6"/>
    <w:qFormat/>
    <w:rPr>
      <w:rFonts w:ascii="OpenSymbol" w:hAnsi="OpenSymbol" w:eastAsia="OpenSymbol" w:cs="OpenSymbol"/>
    </w:rPr>
  </w:style>
  <w:style w:type="character" w:styleId="WWCharLFO5LVL7">
    <w:name w:val="WW_CharLFO5LVL7"/>
    <w:qFormat/>
    <w:rPr>
      <w:rFonts w:ascii="OpenSymbol" w:hAnsi="OpenSymbol" w:eastAsia="OpenSymbol" w:cs="OpenSymbol"/>
    </w:rPr>
  </w:style>
  <w:style w:type="character" w:styleId="WWCharLFO5LVL8">
    <w:name w:val="WW_CharLFO5LVL8"/>
    <w:qFormat/>
    <w:rPr>
      <w:rFonts w:ascii="OpenSymbol" w:hAnsi="OpenSymbol" w:eastAsia="OpenSymbol" w:cs="OpenSymbol"/>
    </w:rPr>
  </w:style>
  <w:style w:type="character" w:styleId="WWCharLFO5LVL9">
    <w:name w:val="WW_CharLFO5LVL9"/>
    <w:qFormat/>
    <w:rPr>
      <w:rFonts w:ascii="OpenSymbol" w:hAnsi="OpenSymbol" w:eastAsia="OpenSymbol" w:cs="OpenSymbol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Titolo1">
    <w:name w:val="Titolo 1"/>
    <w:basedOn w:val="Heading"/>
    <w:next w:val="TextBody"/>
    <w:qFormat/>
    <w:pPr>
      <w:numPr>
        <w:ilvl w:val="0"/>
        <w:numId w:val="1"/>
      </w:numPr>
      <w:suppressAutoHyphens w:val="true"/>
      <w:outlineLvl w:val="0"/>
    </w:pPr>
    <w:rPr>
      <w:b/>
      <w:bCs/>
      <w:color w:val="FF3333"/>
    </w:rPr>
  </w:style>
  <w:style w:type="paragraph" w:styleId="Titolo2">
    <w:name w:val="Titolo 2"/>
    <w:basedOn w:val="Heading"/>
    <w:next w:val="TextBody"/>
    <w:qFormat/>
    <w:pPr>
      <w:numPr>
        <w:ilvl w:val="1"/>
        <w:numId w:val="1"/>
      </w:numPr>
      <w:suppressAutoHyphens w:val="true"/>
      <w:outlineLvl w:val="1"/>
    </w:pPr>
    <w:rPr>
      <w:b/>
      <w:bCs/>
      <w:i/>
      <w:iCs/>
    </w:rPr>
  </w:style>
  <w:style w:type="paragraph" w:styleId="Titolo3">
    <w:name w:val="Titolo 3"/>
    <w:basedOn w:val="Heading"/>
    <w:next w:val="TextBody"/>
    <w:qFormat/>
    <w:pPr>
      <w:numPr>
        <w:ilvl w:val="2"/>
        <w:numId w:val="1"/>
      </w:numPr>
      <w:suppressAutoHyphens w:val="true"/>
      <w:spacing w:before="0" w:after="0"/>
      <w:textAlignment w:val="center"/>
      <w:outlineLvl w:val="2"/>
    </w:pPr>
    <w:rPr>
      <w:b/>
      <w:bCs/>
    </w:rPr>
  </w:style>
  <w:style w:type="paragraph" w:styleId="Titolo7">
    <w:name w:val="Titolo 7"/>
    <w:basedOn w:val="Normal"/>
    <w:next w:val="Normal"/>
    <w:qFormat/>
    <w:pPr>
      <w:keepNext w:val="true"/>
      <w:numPr>
        <w:ilvl w:val="6"/>
        <w:numId w:val="1"/>
      </w:numPr>
      <w:tabs>
        <w:tab w:val="left" w:pos="1980" w:leader="none"/>
      </w:tabs>
      <w:suppressAutoHyphens w:val="true"/>
      <w:jc w:val="center"/>
      <w:outlineLvl w:val="6"/>
    </w:pPr>
    <w:rPr>
      <w:i/>
      <w:iCs/>
      <w:sz w:val="20"/>
    </w:rPr>
  </w:style>
  <w:style w:type="paragraph" w:styleId="Titolo8">
    <w:name w:val="Titolo 8"/>
    <w:basedOn w:val="Heading"/>
    <w:next w:val="TextBody"/>
    <w:qFormat/>
    <w:pPr>
      <w:numPr>
        <w:ilvl w:val="7"/>
        <w:numId w:val="1"/>
      </w:numPr>
      <w:suppressAutoHyphens w:val="true"/>
      <w:outlineLvl w:val="7"/>
    </w:pPr>
    <w:rPr>
      <w:b/>
      <w:bCs/>
    </w:rPr>
  </w:style>
  <w:style w:type="paragraph" w:styleId="Titolo9">
    <w:name w:val="Titolo 9"/>
    <w:basedOn w:val="Heading"/>
    <w:next w:val="TextBody"/>
    <w:qFormat/>
    <w:pPr>
      <w:numPr>
        <w:ilvl w:val="8"/>
        <w:numId w:val="1"/>
      </w:numPr>
      <w:suppressAutoHyphens w:val="true"/>
      <w:outlineLvl w:val="8"/>
    </w:pPr>
    <w:rPr>
      <w:b/>
      <w:bCs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extBody">
    <w:name w:val="Body Text"/>
    <w:basedOn w:val="Normal"/>
    <w:pPr>
      <w:suppressAutoHyphens w:val="true"/>
      <w:spacing w:before="0" w:after="120"/>
    </w:pPr>
    <w:rPr/>
  </w:style>
  <w:style w:type="paragraph" w:styleId="Elenco">
    <w:name w:val="Elenco"/>
    <w:basedOn w:val="TextBody"/>
    <w:qFormat/>
    <w:pPr>
      <w:suppressAutoHyphens w:val="true"/>
    </w:pPr>
    <w:rPr>
      <w:rFonts w:cs="Tahoma"/>
    </w:rPr>
  </w:style>
  <w:style w:type="paragraph" w:styleId="Didascalia">
    <w:name w:val="Didascalia"/>
    <w:basedOn w:val="Normal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Tahoma"/>
    </w:rPr>
  </w:style>
  <w:style w:type="paragraph" w:styleId="TableContents">
    <w:name w:val="Table Contents"/>
    <w:basedOn w:val="Normal"/>
    <w:qFormat/>
    <w:pPr>
      <w:suppressLineNumbers/>
      <w:suppressAutoHyphens w:val="true"/>
    </w:pPr>
    <w:rPr>
      <w:rFonts w:ascii="Arial" w:hAnsi="Arial"/>
      <w:sz w:val="20"/>
    </w:rPr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Heading10">
    <w:name w:val="Heading 10"/>
    <w:basedOn w:val="Heading"/>
    <w:next w:val="TextBody"/>
    <w:qFormat/>
    <w:pPr>
      <w:suppressAutoHyphens w:val="true"/>
    </w:pPr>
    <w:rPr>
      <w:b/>
      <w:bCs/>
    </w:rPr>
  </w:style>
  <w:style w:type="paragraph" w:styleId="Pidipagina">
    <w:name w:val="Piè di pagina"/>
    <w:basedOn w:val="Normal"/>
    <w:qFormat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Footnote">
    <w:name w:val="Footnote Text"/>
    <w:basedOn w:val="Normal"/>
    <w:pPr>
      <w:suppressLineNumbers/>
      <w:suppressAutoHyphens w:val="true"/>
      <w:ind w:left="283" w:hanging="283"/>
    </w:pPr>
    <w:rPr>
      <w:rFonts w:ascii="Arial" w:hAnsi="Arial"/>
      <w:sz w:val="20"/>
      <w:szCs w:val="20"/>
    </w:rPr>
  </w:style>
  <w:style w:type="paragraph" w:styleId="Intestazione">
    <w:name w:val="Intestazione"/>
    <w:basedOn w:val="Normal"/>
    <w:qFormat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umbering1">
    <w:name w:val="Numbering 1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lexview-int.regione.fvg.it/fontinormative/xml/xmlLex.aspx?anno=2014&amp;legge=1&amp;lista=0&amp;fx=lex" TargetMode="External"/><Relationship Id="rId2" Type="http://schemas.openxmlformats.org/officeDocument/2006/relationships/hyperlink" Target="http://lexview-int.regione.fvg.it/FontiNormative/xml/xmlLex.aspx?anno=2017&amp;legge=26&amp;ID=art7&amp;lista=0&amp;fx=lex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360</TotalTime>
  <Application>LibreOffice/5.3.6.1$Linux_X86_64 LibreOffice_project/30$Build-1</Application>
  <Pages>5</Pages>
  <Words>1651</Words>
  <Characters>9412</Characters>
  <CharactersWithSpaces>11041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2012-11-28T09:45:00Z</dcterms:created>
  <dc:creator>Livio Metton</dc:creator>
  <dc:description>Versione 1.0</dc:description>
  <dc:language>en-US</dc:language>
  <cp:lastModifiedBy>Andrea Piredda</cp:lastModifiedBy>
  <cp:lastPrinted>2017-09-21T15:09:00Z</cp:lastPrinted>
  <dcterms:modified xsi:type="dcterms:W3CDTF">2018-04-27T09:27:00Z</dcterms:modified>
  <cp:revision>337</cp:revision>
  <dc:subject/>
  <dc:title/>
</cp:coreProperties>
</file>