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13" w:type="dxa"/>
        <w:jc w:val="left"/>
        <w:tblInd w:w="62"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Pr>
      <w:tblGrid>
        <w:gridCol w:w="4806"/>
        <w:gridCol w:w="4807"/>
      </w:tblGrid>
      <w:tr>
        <w:trPr>
          <w:trHeight w:val="1344" w:hRule="atLeast"/>
        </w:trPr>
        <w:tc>
          <w:tcPr>
            <w:tcW w:w="4806" w:type="dxa"/>
            <w:vMerge w:val="restart"/>
            <w:tcBorders>
              <w:top w:val="single" w:sz="4" w:space="0" w:color="000000"/>
              <w:left w:val="single" w:sz="4" w:space="0" w:color="000000"/>
              <w:bottom w:val="single" w:sz="4" w:space="0" w:color="000000"/>
              <w:insideH w:val="single" w:sz="4" w:space="0" w:color="000000"/>
            </w:tcBorders>
            <w:shd w:fill="auto" w:val="clear"/>
            <w:tcMar>
              <w:left w:w="50" w:type="dxa"/>
            </w:tcMar>
          </w:tcPr>
          <w:p>
            <w:pPr>
              <w:pStyle w:val="Normal"/>
              <w:jc w:val="left"/>
              <w:rPr>
                <w:rFonts w:ascii="Arial" w:hAnsi="Arial" w:cs="Arial"/>
                <w:b/>
                <w:b/>
                <w:bCs/>
                <w:sz w:val="18"/>
                <w:szCs w:val="18"/>
              </w:rPr>
            </w:pPr>
            <w:r>
              <w:rPr>
                <w:rFonts w:cs="Arial" w:ascii="Arial" w:hAnsi="Arial"/>
                <w:b/>
                <w:bCs/>
                <w:sz w:val="18"/>
                <w:szCs w:val="18"/>
              </w:rPr>
              <w:t>REGIME DI AVVIO:</w:t>
            </w:r>
          </w:p>
          <w:p>
            <w:pPr>
              <w:pStyle w:val="Normal"/>
              <w:jc w:val="left"/>
              <w:rPr>
                <w:rFonts w:ascii="Arial" w:hAnsi="Arial" w:cs="Arial"/>
                <w:b/>
                <w:b/>
                <w:bCs/>
                <w:sz w:val="18"/>
                <w:szCs w:val="18"/>
              </w:rPr>
            </w:pPr>
            <w:r>
              <w:rPr>
                <w:rFonts w:cs="Arial" w:ascii="Arial" w:hAnsi="Arial"/>
                <w:b/>
                <w:bCs/>
                <w:sz w:val="18"/>
                <w:szCs w:val="18"/>
              </w:rPr>
              <w:t xml:space="preserve">Segnalazione Certificata di Inizio Attività </w:t>
            </w:r>
            <w:r>
              <w:rPr>
                <w:rFonts w:cs="Arial" w:ascii="Arial" w:hAnsi="Arial"/>
                <w:b w:val="false"/>
                <w:bCs w:val="false"/>
                <w:sz w:val="18"/>
                <w:szCs w:val="18"/>
              </w:rPr>
              <w:t>ex artt. 11 e 12 L.R. 29/05 per vicinato e media struttura minore</w:t>
            </w:r>
          </w:p>
          <w:p>
            <w:pPr>
              <w:pStyle w:val="Normal"/>
              <w:jc w:val="left"/>
              <w:rPr>
                <w:rFonts w:ascii="Arial" w:hAnsi="Arial" w:cs="Arial"/>
                <w:b/>
                <w:b/>
                <w:bCs/>
                <w:sz w:val="18"/>
                <w:szCs w:val="18"/>
              </w:rPr>
            </w:pPr>
            <w:r>
              <w:rPr>
                <w:rFonts w:cs="Arial" w:ascii="Arial" w:hAnsi="Arial"/>
                <w:b/>
                <w:bCs/>
                <w:sz w:val="18"/>
                <w:szCs w:val="18"/>
              </w:rPr>
              <w:t xml:space="preserve">Domanda di autorizzazione </w:t>
            </w:r>
            <w:r>
              <w:rPr>
                <w:rFonts w:cs="Arial" w:ascii="Arial" w:hAnsi="Arial"/>
                <w:b w:val="false"/>
                <w:bCs w:val="false"/>
                <w:sz w:val="18"/>
                <w:szCs w:val="18"/>
              </w:rPr>
              <w:t>ex artt. 12 e 13 L.R. 29/05</w:t>
            </w:r>
            <w:r>
              <w:rPr>
                <w:rFonts w:cs="Arial" w:ascii="Arial" w:hAnsi="Arial"/>
                <w:b/>
                <w:bCs/>
                <w:sz w:val="18"/>
                <w:szCs w:val="18"/>
              </w:rPr>
              <w:t xml:space="preserve"> </w:t>
            </w:r>
            <w:r>
              <w:rPr>
                <w:rFonts w:cs="Arial" w:ascii="Arial" w:hAnsi="Arial"/>
                <w:b w:val="false"/>
                <w:bCs w:val="false"/>
                <w:sz w:val="18"/>
                <w:szCs w:val="18"/>
              </w:rPr>
              <w:t>per media struttura maggiore, grande struttura, centro commerciale, complesso commerciale</w:t>
            </w:r>
          </w:p>
        </w:tc>
        <w:tc>
          <w:tcPr>
            <w:tcW w:w="48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Normal"/>
              <w:jc w:val="left"/>
              <w:rPr>
                <w:rFonts w:ascii="Arial" w:hAnsi="Arial"/>
                <w:b/>
                <w:b/>
                <w:bCs/>
                <w:color w:val="auto"/>
                <w:sz w:val="12"/>
                <w:szCs w:val="12"/>
              </w:rPr>
            </w:pPr>
            <w:r>
              <w:rPr>
                <w:rFonts w:ascii="Arial" w:hAnsi="Arial"/>
                <w:b/>
                <w:bCs/>
                <w:color w:val="auto"/>
                <w:sz w:val="12"/>
                <w:szCs w:val="12"/>
              </w:rPr>
              <w:t>Le informazioni e i dati corrispondono a quelli previsti nella modulistica unificata e standardizzata, approvata dalla Conferenza Unificata  in data 4 maggio 2017</w:t>
            </w:r>
          </w:p>
          <w:p>
            <w:pPr>
              <w:pStyle w:val="Normal"/>
              <w:jc w:val="left"/>
              <w:rPr>
                <w:rFonts w:ascii="Arial" w:hAnsi="Arial"/>
                <w:b/>
                <w:b/>
                <w:bCs/>
                <w:color w:val="auto"/>
                <w:sz w:val="12"/>
                <w:szCs w:val="12"/>
              </w:rPr>
            </w:pPr>
            <w:r>
              <w:rPr>
                <w:rFonts w:ascii="Arial" w:hAnsi="Arial"/>
                <w:b/>
                <w:bCs/>
                <w:color w:val="auto"/>
                <w:sz w:val="12"/>
                <w:szCs w:val="12"/>
              </w:rPr>
              <w:t>Le sezioni e le informazioni variate sulla base delle diverse disposizioni regionali sono contrassegnate con un asterisco (*)</w:t>
            </w:r>
          </w:p>
          <w:p>
            <w:pPr>
              <w:pStyle w:val="Normal"/>
              <w:jc w:val="right"/>
              <w:rPr>
                <w:rFonts w:ascii="Arial" w:hAnsi="Arial"/>
                <w:b/>
                <w:b/>
                <w:bCs/>
                <w:color w:val="0000FF"/>
                <w:sz w:val="12"/>
                <w:szCs w:val="12"/>
              </w:rPr>
            </w:pPr>
            <w:r>
              <w:rPr>
                <w:rFonts w:ascii="Arial" w:hAnsi="Arial"/>
                <w:b/>
                <w:bCs/>
                <w:color w:val="0000FF"/>
                <w:sz w:val="12"/>
                <w:szCs w:val="12"/>
              </w:rPr>
            </w:r>
          </w:p>
        </w:tc>
      </w:tr>
      <w:tr>
        <w:trPr>
          <w:trHeight w:val="255" w:hRule="atLeast"/>
        </w:trPr>
        <w:tc>
          <w:tcPr>
            <w:tcW w:w="4806" w:type="dxa"/>
            <w:vMerge w:val="continue"/>
            <w:tcBorders>
              <w:top w:val="single" w:sz="4" w:space="0" w:color="000000"/>
              <w:left w:val="single" w:sz="4" w:space="0" w:color="000000"/>
              <w:bottom w:val="single" w:sz="4" w:space="0" w:color="000000"/>
              <w:insideH w:val="single" w:sz="4" w:space="0" w:color="000000"/>
            </w:tcBorders>
            <w:shd w:fill="auto" w:val="clear"/>
            <w:tcMar>
              <w:left w:w="50" w:type="dxa"/>
            </w:tcMar>
          </w:tcPr>
          <w:p>
            <w:pPr>
              <w:pStyle w:val="Normal"/>
              <w:rPr/>
            </w:pPr>
            <w:r>
              <w:rPr/>
            </w:r>
          </w:p>
        </w:tc>
        <w:tc>
          <w:tcPr>
            <w:tcW w:w="480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Normal"/>
              <w:jc w:val="right"/>
              <w:rPr>
                <w:rFonts w:ascii="Arial" w:hAnsi="Arial"/>
                <w:b/>
                <w:b/>
                <w:bCs/>
                <w:color w:val="0000FF"/>
                <w:sz w:val="12"/>
                <w:szCs w:val="12"/>
              </w:rPr>
            </w:pPr>
            <w:r>
              <w:rPr>
                <w:rFonts w:ascii="Arial" w:hAnsi="Arial"/>
                <w:b/>
                <w:bCs/>
                <w:color w:val="0000FF"/>
                <w:sz w:val="12"/>
                <w:szCs w:val="12"/>
              </w:rPr>
              <w:t xml:space="preserve">Questo modulo </w:t>
            </w:r>
            <w:r>
              <w:rPr>
                <w:rFonts w:ascii="Arial" w:hAnsi="Arial"/>
                <w:b/>
                <w:bCs/>
                <w:color w:val="0000FF"/>
                <w:sz w:val="12"/>
                <w:szCs w:val="12"/>
                <w:u w:val="single"/>
              </w:rPr>
              <w:t>DEVE ESSERE compilato</w:t>
            </w:r>
            <w:r>
              <w:rPr>
                <w:rFonts w:ascii="Arial" w:hAnsi="Arial"/>
                <w:b/>
                <w:bCs/>
                <w:color w:val="0000FF"/>
                <w:sz w:val="12"/>
                <w:szCs w:val="12"/>
              </w:rPr>
              <w:t xml:space="preserve"> con OpenOffice o Libre Office</w:t>
            </w:r>
          </w:p>
        </w:tc>
      </w:tr>
      <w:tr>
        <w:trPr>
          <w:trHeight w:val="510" w:hRule="atLeast"/>
        </w:trPr>
        <w:tc>
          <w:tcPr>
            <w:tcW w:w="9613"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Heading1"/>
              <w:numPr>
                <w:ilvl w:val="0"/>
                <w:numId w:val="0"/>
              </w:numPr>
              <w:spacing w:before="57" w:after="0"/>
              <w:rPr>
                <w:rFonts w:ascii="Arial" w:hAnsi="Arial"/>
                <w:b/>
                <w:b/>
                <w:bCs/>
                <w:sz w:val="28"/>
                <w:szCs w:val="28"/>
              </w:rPr>
            </w:pPr>
            <w:r>
              <w:rPr>
                <w:b/>
                <w:bCs/>
                <w:sz w:val="28"/>
                <w:szCs w:val="28"/>
              </w:rPr>
              <w:t>1. Dati generali dell'intervento</w:t>
            </w:r>
          </w:p>
        </w:tc>
      </w:tr>
      <w:tr>
        <w:trPr>
          <w:trHeight w:val="454" w:hRule="exact"/>
        </w:trPr>
        <w:tc>
          <w:tcPr>
            <w:tcW w:w="9613"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Heading2"/>
              <w:numPr>
                <w:ilvl w:val="1"/>
                <w:numId w:val="1"/>
              </w:numPr>
              <w:spacing w:before="62" w:after="62"/>
              <w:rPr/>
            </w:pPr>
            <w:r>
              <w:rPr>
                <w:i w:val="false"/>
                <w:iCs w:val="false"/>
                <w:color w:val="0000FF"/>
                <w:sz w:val="20"/>
                <w:szCs w:val="20"/>
              </w:rPr>
              <w:t xml:space="preserve">1.1 Numero della domanda </w:t>
            </w:r>
            <w:r>
              <w:rPr>
                <w:i w:val="false"/>
                <w:iCs w:val="false"/>
                <w:color w:val="0000FF"/>
                <w:sz w:val="20"/>
                <w:szCs w:val="20"/>
              </w:rPr>
            </w:r>
          </w:p>
        </w:tc>
      </w:tr>
      <w:tr>
        <w:trPr>
          <w:trHeight w:val="515" w:hRule="exact"/>
        </w:trPr>
        <w:tc>
          <w:tcPr>
            <w:tcW w:w="9613"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Heading2"/>
              <w:numPr>
                <w:ilvl w:val="1"/>
                <w:numId w:val="1"/>
              </w:numPr>
              <w:spacing w:before="57" w:after="57"/>
              <w:textAlignment w:val="center"/>
              <w:rPr>
                <w:color w:val="0000FF"/>
                <w:sz w:val="20"/>
                <w:szCs w:val="20"/>
              </w:rPr>
            </w:pPr>
            <w:r>
              <w:rPr>
                <w:i w:val="false"/>
                <w:iCs w:val="false"/>
                <w:color w:val="0000FF"/>
                <w:sz w:val="20"/>
                <w:szCs w:val="20"/>
              </w:rPr>
              <w:t>1.2 Titolare dell'esercizio</w:t>
            </w:r>
            <w:r>
              <w:rPr>
                <w:color w:val="0000FF"/>
                <w:sz w:val="20"/>
                <w:szCs w:val="20"/>
              </w:rPr>
              <w:t xml:space="preserve"> </w:t>
            </w:r>
            <w:r>
              <w:rPr>
                <w:color w:val="0000FF"/>
                <w:sz w:val="20"/>
                <w:szCs w:val="20"/>
              </w:rPr>
            </w:r>
            <w:r>
              <w:rPr>
                <w:color w:val="0000FF"/>
                <w:sz w:val="20"/>
                <w:szCs w:val="20"/>
              </w:rPr>
              <w:t xml:space="preserve"> </w:t>
            </w:r>
            <w:r>
              <w:rPr>
                <w:color w:val="0000FF"/>
                <w:sz w:val="20"/>
                <w:szCs w:val="20"/>
              </w:rPr>
            </w:r>
          </w:p>
        </w:tc>
      </w:tr>
      <w:tr>
        <w:trPr>
          <w:trHeight w:val="415" w:hRule="exact"/>
        </w:trPr>
        <w:tc>
          <w:tcPr>
            <w:tcW w:w="9613" w:type="dxa"/>
            <w:gridSpan w:val="2"/>
            <w:tcBorders>
              <w:top w:val="single" w:sz="4" w:space="0" w:color="000000"/>
              <w:left w:val="single" w:sz="4" w:space="0" w:color="000000"/>
              <w:right w:val="single" w:sz="4" w:space="0" w:color="000000"/>
              <w:insideV w:val="single" w:sz="4" w:space="0" w:color="000000"/>
            </w:tcBorders>
            <w:shd w:fill="auto" w:val="clear"/>
            <w:tcMar>
              <w:left w:w="50" w:type="dxa"/>
            </w:tcMar>
          </w:tcPr>
          <w:p>
            <w:pPr>
              <w:pStyle w:val="Heading2"/>
              <w:numPr>
                <w:ilvl w:val="1"/>
                <w:numId w:val="1"/>
              </w:numPr>
              <w:spacing w:before="57" w:after="0"/>
              <w:textAlignment w:val="center"/>
              <w:rPr>
                <w:i w:val="false"/>
                <w:i w:val="false"/>
                <w:iCs w:val="false"/>
                <w:color w:val="0000FF"/>
                <w:sz w:val="20"/>
                <w:szCs w:val="20"/>
              </w:rPr>
            </w:pPr>
            <w:r>
              <w:rPr>
                <w:i w:val="false"/>
                <w:iCs w:val="false"/>
                <w:color w:val="0000FF"/>
                <w:sz w:val="20"/>
                <w:szCs w:val="20"/>
              </w:rPr>
              <w:t>1.3 Indirizzo dell'esercizio</w:t>
            </w:r>
          </w:p>
        </w:tc>
      </w:tr>
      <w:tr>
        <w:trPr>
          <w:trHeight w:val="751" w:hRule="exact"/>
        </w:trPr>
        <w:tc>
          <w:tcPr>
            <w:tcW w:w="9613"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Normal"/>
              <w:spacing w:before="0" w:after="0"/>
              <w:ind w:left="397" w:right="0" w:hanging="0"/>
              <w:textAlignment w:val="bottom"/>
              <w:rPr/>
            </w:pPr>
            <w:r>
              <w:rPr>
                <w:i w:val="false"/>
                <w:iCs w:val="false"/>
                <w:color w:val="0000FF"/>
                <w:sz w:val="20"/>
                <w:szCs w:val="20"/>
              </w:rPr>
            </w:r>
            <w:r>
              <w:rPr>
                <w:i w:val="false"/>
                <w:iCs w:val="false"/>
                <w:color w:val="0000FF"/>
                <w:sz w:val="20"/>
                <w:szCs w:val="20"/>
              </w:rPr>
              <w:t xml:space="preserve"> </w:t>
            </w:r>
            <w:r>
              <w:rPr>
                <w:i w:val="false"/>
                <w:iCs w:val="false"/>
                <w:color w:val="0000FF"/>
                <w:sz w:val="20"/>
                <w:szCs w:val="20"/>
              </w:rPr>
            </w:r>
            <w:r>
              <w:rPr>
                <w:i w:val="false"/>
                <w:iCs w:val="false"/>
                <w:color w:val="0000FF"/>
                <w:sz w:val="20"/>
                <w:szCs w:val="20"/>
              </w:rPr>
              <w:t xml:space="preserve"> </w:t>
            </w:r>
            <w:r>
              <w:rPr>
                <w:i w:val="false"/>
                <w:iCs w:val="false"/>
                <w:color w:val="0000FF"/>
                <w:sz w:val="20"/>
                <w:szCs w:val="20"/>
              </w:rPr>
            </w:r>
            <w:r>
              <w:rPr>
                <w:i w:val="false"/>
                <w:iCs w:val="false"/>
                <w:color w:val="0000FF"/>
                <w:sz w:val="20"/>
                <w:szCs w:val="20"/>
              </w:rPr>
              <w:t xml:space="preserve"> </w:t>
            </w:r>
            <w:r>
              <w:rPr>
                <w:b/>
                <w:bCs/>
                <w:i w:val="false"/>
                <w:iCs w:val="false"/>
                <w:color w:val="000000"/>
                <w:sz w:val="28"/>
                <w:szCs w:val="28"/>
              </w:rPr>
              <w:t>/</w:t>
            </w:r>
            <w:r>
              <w:rPr>
                <w:i w:val="false"/>
                <w:iCs w:val="false"/>
                <w:color w:val="0000FF"/>
                <w:sz w:val="20"/>
                <w:szCs w:val="20"/>
              </w:rPr>
              <w:t xml:space="preserve"> </w:t>
            </w:r>
            <w:r>
              <w:rPr>
                <w:i w:val="false"/>
                <w:iCs w:val="false"/>
                <w:color w:val="0000FF"/>
                <w:sz w:val="20"/>
                <w:szCs w:val="20"/>
              </w:rPr>
            </w:r>
          </w:p>
          <w:p>
            <w:pPr>
              <w:pStyle w:val="Normal"/>
              <w:spacing w:before="0" w:after="0"/>
              <w:ind w:left="397" w:right="0" w:hanging="0"/>
              <w:textAlignment w:val="bottom"/>
              <w:rPr/>
            </w:pPr>
            <w:r>
              <w:rPr>
                <w:i w:val="false"/>
                <w:iCs w:val="false"/>
                <w:color w:val="0000FF"/>
                <w:sz w:val="20"/>
                <w:szCs w:val="20"/>
              </w:rPr>
            </w:r>
            <w:r>
              <w:rPr>
                <w:i w:val="false"/>
                <w:iCs w:val="false"/>
                <w:color w:val="0000FF"/>
                <w:sz w:val="20"/>
                <w:szCs w:val="20"/>
              </w:rPr>
              <w:t xml:space="preserve"> </w:t>
            </w:r>
            <w:r>
              <w:rPr>
                <w:i w:val="false"/>
                <w:iCs w:val="false"/>
                <w:color w:val="0000FF"/>
                <w:sz w:val="20"/>
                <w:szCs w:val="20"/>
              </w:rPr>
              <mc:AlternateContent>
                <mc:Choice Requires="wpg">
                  <w:drawing>
                    <wp:inline distT="0" distB="0" distL="0" distR="0">
                      <wp:extent cx="1440180" cy="162560"/>
                      <wp:effectExtent l="0" t="0" r="0" b="0"/>
                      <wp:docPr id="1" name=""/>
                      <a:graphic xmlns:a="http://schemas.openxmlformats.org/drawingml/2006/main">
                        <a:graphicData uri="http://schemas.microsoft.com/office/word/2010/wordprocessingGroup">
                          <wpg:wgp>
                            <wpg:cNvGrpSpPr/>
                            <wpg:grpSpPr>
                              <a:xfrm>
                                <a:off x="0" y="0"/>
                                <a:ext cx="1439640" cy="162000"/>
                              </a:xfrm>
                            </wpg:grpSpPr>
                          </wpg:wgp>
                        </a:graphicData>
                      </a:graphic>
                    </wp:inline>
                  </w:drawing>
                </mc:Choice>
                <mc:Fallback>
                  <w:pict>
                    <v:group id="shape_0" style="position:absolute;margin-left:0pt;margin-top:-6.4pt;width:113.35pt;height:12.75pt" coordorigin="0,-128" coordsize="2267,255"/>
                  </w:pict>
                </mc:Fallback>
              </mc:AlternateContent>
            </w:r>
            <w:r>
              <w:rPr>
                <w:i w:val="false"/>
                <w:iCs w:val="false"/>
                <w:color w:val="0000FF"/>
                <w:sz w:val="20"/>
                <w:szCs w:val="20"/>
              </w:rPr>
              <w:t xml:space="preserve"> </w:t>
            </w:r>
            <w:r>
              <w:rPr>
                <w:i w:val="false"/>
                <w:iCs w:val="false"/>
                <w:color w:val="0000FF"/>
                <w:sz w:val="20"/>
                <w:szCs w:val="20"/>
              </w:rPr>
            </w:r>
          </w:p>
        </w:tc>
      </w:tr>
    </w:tbl>
    <w:p>
      <w:pPr>
        <w:pStyle w:val="Normal"/>
        <w:rPr>
          <w:sz w:val="16"/>
          <w:szCs w:val="16"/>
        </w:rPr>
      </w:pPr>
      <w:r>
        <w:rPr>
          <w:sz w:val="16"/>
          <w:szCs w:val="16"/>
        </w:rPr>
      </w:r>
    </w:p>
    <w:tbl>
      <w:tblPr>
        <w:tblW w:w="9664" w:type="dxa"/>
        <w:jc w:val="left"/>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0" w:type="dxa"/>
          <w:bottom w:w="55" w:type="dxa"/>
          <w:right w:w="55" w:type="dxa"/>
        </w:tblCellMar>
      </w:tblPr>
      <w:tblGrid>
        <w:gridCol w:w="4639"/>
        <w:gridCol w:w="1632"/>
        <w:gridCol w:w="3393"/>
      </w:tblGrid>
      <w:tr>
        <w:trPr>
          <w:trHeight w:val="432" w:hRule="atLeast"/>
        </w:trPr>
        <w:tc>
          <w:tcPr>
            <w:tcW w:w="966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Heading1"/>
              <w:numPr>
                <w:ilvl w:val="0"/>
                <w:numId w:val="0"/>
              </w:numPr>
              <w:spacing w:before="0" w:after="0"/>
              <w:ind w:left="421" w:right="-1" w:hanging="0"/>
              <w:rPr>
                <w:rFonts w:ascii="Arial" w:hAnsi="Arial" w:cs="Arial"/>
                <w:b/>
                <w:b/>
                <w:color w:val="FF0000"/>
                <w:sz w:val="28"/>
                <w:szCs w:val="28"/>
              </w:rPr>
            </w:pPr>
            <w:r>
              <w:rPr>
                <w:rFonts w:cs="Arial"/>
                <w:b/>
                <w:color w:val="FF0000"/>
                <w:sz w:val="28"/>
                <w:szCs w:val="28"/>
              </w:rPr>
              <w:t xml:space="preserve">2. Specifiche relative all'attività </w:t>
            </w:r>
          </w:p>
        </w:tc>
      </w:tr>
      <w:tr>
        <w:trPr>
          <w:trHeight w:val="408" w:hRule="exact"/>
        </w:trPr>
        <w:tc>
          <w:tcPr>
            <w:tcW w:w="9664"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Heading2"/>
              <w:keepNext w:val="true"/>
              <w:numPr>
                <w:ilvl w:val="0"/>
                <w:numId w:val="0"/>
              </w:numPr>
              <w:spacing w:before="57" w:after="57"/>
              <w:ind w:left="0" w:right="0" w:hanging="0"/>
              <w:rPr>
                <w:rFonts w:ascii="Arial" w:hAnsi="Arial" w:eastAsia="Arial Unicode MS" w:cs="Tahoma"/>
                <w:i w:val="false"/>
                <w:i w:val="false"/>
                <w:iCs w:val="false"/>
                <w:color w:val="0000FF"/>
                <w:sz w:val="20"/>
                <w:szCs w:val="20"/>
              </w:rPr>
            </w:pPr>
            <w:r>
              <w:rPr>
                <w:rFonts w:eastAsia="Arial Unicode MS" w:cs="Tahoma"/>
                <w:i w:val="false"/>
                <w:iCs w:val="false"/>
                <w:color w:val="0000FF"/>
                <w:sz w:val="20"/>
                <w:szCs w:val="20"/>
              </w:rPr>
              <w:t>2.1 Avvio di esercizio commerciale</w:t>
            </w:r>
          </w:p>
        </w:tc>
      </w:tr>
      <w:tr>
        <w:trPr/>
        <w:tc>
          <w:tcPr>
            <w:tcW w:w="9664"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vAlign w:val="center"/>
          </w:tcPr>
          <w:p>
            <w:pPr>
              <w:pStyle w:val="Heading3"/>
              <w:keepNext w:val="true"/>
              <w:numPr>
                <w:ilvl w:val="2"/>
                <w:numId w:val="1"/>
              </w:numPr>
              <w:ind w:left="0" w:right="0" w:hanging="0"/>
              <w:rPr>
                <w:rFonts w:ascii="Arial" w:hAnsi="Arial"/>
                <w:sz w:val="16"/>
                <w:szCs w:val="16"/>
              </w:rPr>
            </w:pPr>
            <w:r>
              <w:rPr>
                <w:sz w:val="16"/>
                <w:szCs w:val="16"/>
              </w:rPr>
            </w:r>
            <w:r>
              <w:rPr>
                <w:sz w:val="16"/>
                <w:szCs w:val="16"/>
              </w:rPr>
              <w:t xml:space="preserve"> </w:t>
            </w:r>
            <w:r>
              <w:rPr>
                <w:sz w:val="16"/>
                <w:szCs w:val="16"/>
              </w:rPr>
              <w:t>V</w:t>
            </w:r>
            <w:r>
              <w:rPr>
                <w:rFonts w:eastAsia="Arial Unicode MS" w:cs="Tahoma"/>
                <w:bCs w:val="false"/>
                <w:sz w:val="16"/>
                <w:szCs w:val="16"/>
              </w:rPr>
              <w:t>icinato</w:t>
            </w:r>
            <w:r>
              <w:rPr>
                <w:rStyle w:val="FootnoteAnchor"/>
                <w:rFonts w:eastAsia="Arial Unicode MS" w:cs="Tahoma"/>
                <w:bCs w:val="false"/>
                <w:sz w:val="16"/>
                <w:szCs w:val="16"/>
              </w:rPr>
              <w:footnoteReference w:id="2"/>
            </w:r>
          </w:p>
          <w:p>
            <w:pPr>
              <w:pStyle w:val="Normal"/>
              <w:rPr>
                <w:rFonts w:ascii="Arial" w:hAnsi="Arial"/>
                <w:sz w:val="16"/>
                <w:szCs w:val="16"/>
              </w:rPr>
            </w:pPr>
            <w:r>
              <w:rPr>
                <w:rFonts w:eastAsia="Arial Unicode MS" w:cs="Tahoma" w:ascii="Arial" w:hAnsi="Arial"/>
                <w:bCs w:val="false"/>
                <w:sz w:val="16"/>
                <w:szCs w:val="16"/>
              </w:rPr>
            </w:r>
            <w:r>
              <w:rPr>
                <w:rFonts w:eastAsia="Arial Unicode MS" w:cs="Tahoma" w:ascii="Arial" w:hAnsi="Arial"/>
                <w:bCs w:val="false"/>
                <w:sz w:val="16"/>
                <w:szCs w:val="16"/>
              </w:rPr>
              <w:t xml:space="preserve"> </w:t>
            </w:r>
            <w:r>
              <w:rPr>
                <w:rFonts w:eastAsia="Arial Unicode MS" w:cs="Tahoma" w:ascii="Arial" w:hAnsi="Arial"/>
                <w:b/>
                <w:bCs/>
                <w:color w:val="auto"/>
                <w:sz w:val="16"/>
                <w:szCs w:val="16"/>
              </w:rPr>
              <w:t xml:space="preserve">(*) </w:t>
            </w:r>
            <w:r>
              <w:rPr>
                <w:rFonts w:eastAsia="Arial Unicode MS" w:cs="Tahoma" w:ascii="Arial" w:hAnsi="Arial"/>
                <w:bCs w:val="false"/>
                <w:sz w:val="16"/>
                <w:szCs w:val="16"/>
              </w:rPr>
              <w:t>Media struttura minore</w:t>
            </w:r>
            <w:r>
              <w:rPr>
                <w:rStyle w:val="FootnoteAnchor"/>
                <w:rFonts w:eastAsia="Arial Unicode MS" w:cs="Tahoma" w:ascii="Arial" w:hAnsi="Arial"/>
                <w:bCs w:val="false"/>
                <w:sz w:val="16"/>
                <w:szCs w:val="16"/>
              </w:rPr>
              <w:footnoteReference w:id="3"/>
            </w:r>
          </w:p>
          <w:p>
            <w:pPr>
              <w:pStyle w:val="Heading3"/>
              <w:keepNext w:val="true"/>
              <w:numPr>
                <w:ilvl w:val="2"/>
                <w:numId w:val="1"/>
              </w:numPr>
              <w:ind w:left="0" w:right="0" w:hanging="0"/>
              <w:rPr>
                <w:rFonts w:ascii="Arial" w:hAnsi="Arial"/>
                <w:sz w:val="16"/>
                <w:szCs w:val="16"/>
              </w:rPr>
            </w:pPr>
            <w:r>
              <w:rPr>
                <w:rFonts w:eastAsia="Arial Unicode MS" w:cs="Tahoma"/>
                <w:bCs w:val="false"/>
                <w:sz w:val="16"/>
                <w:szCs w:val="16"/>
              </w:rPr>
            </w:r>
            <w:r>
              <w:rPr>
                <w:rFonts w:eastAsia="Arial Unicode MS" w:cs="Tahoma"/>
                <w:bCs w:val="false"/>
                <w:sz w:val="16"/>
                <w:szCs w:val="16"/>
              </w:rPr>
              <w:t xml:space="preserve"> </w:t>
            </w:r>
            <w:r>
              <w:rPr>
                <w:rFonts w:eastAsia="Arial Unicode MS" w:cs="Tahoma"/>
                <w:b/>
                <w:bCs/>
                <w:color w:val="auto"/>
                <w:sz w:val="16"/>
                <w:szCs w:val="16"/>
              </w:rPr>
              <w:t xml:space="preserve">(*) </w:t>
            </w:r>
            <w:r>
              <w:rPr>
                <w:rFonts w:eastAsia="Arial Unicode MS" w:cs="Tahoma"/>
                <w:bCs w:val="false"/>
                <w:sz w:val="16"/>
                <w:szCs w:val="16"/>
              </w:rPr>
              <w:t>Media struttura maggiore</w:t>
            </w:r>
            <w:r>
              <w:rPr>
                <w:rStyle w:val="FootnoteAnchor"/>
                <w:rFonts w:eastAsia="Arial Unicode MS" w:cs="Tahoma"/>
                <w:bCs w:val="false"/>
                <w:sz w:val="16"/>
                <w:szCs w:val="16"/>
              </w:rPr>
              <w:footnoteReference w:id="4"/>
            </w:r>
          </w:p>
          <w:p>
            <w:pPr>
              <w:pStyle w:val="Heading3"/>
              <w:keepNext w:val="true"/>
              <w:numPr>
                <w:ilvl w:val="2"/>
                <w:numId w:val="1"/>
              </w:numPr>
              <w:ind w:left="0" w:right="0" w:hanging="0"/>
              <w:rPr>
                <w:rFonts w:ascii="Arial" w:hAnsi="Arial" w:eastAsia="Arial Unicode MS" w:cs="Tahoma"/>
                <w:b w:val="false"/>
                <w:bCs w:val="false"/>
                <w:sz w:val="16"/>
                <w:szCs w:val="16"/>
              </w:rPr>
            </w:pPr>
            <w:r>
              <w:rPr>
                <w:rFonts w:eastAsia="Arial Unicode MS" w:cs="Tahoma"/>
                <w:bCs w:val="false"/>
                <w:sz w:val="16"/>
                <w:szCs w:val="16"/>
              </w:rPr>
            </w:r>
            <w:r>
              <w:rPr>
                <w:rFonts w:eastAsia="Arial Unicode MS" w:cs="Tahoma"/>
                <w:bCs w:val="false"/>
                <w:sz w:val="16"/>
                <w:szCs w:val="16"/>
              </w:rPr>
              <w:t xml:space="preserve"> </w:t>
            </w:r>
            <w:r>
              <w:rPr>
                <w:rFonts w:eastAsia="Arial Unicode MS" w:cs="Tahoma"/>
                <w:bCs w:val="false"/>
                <w:sz w:val="16"/>
                <w:szCs w:val="16"/>
              </w:rPr>
              <w:t>Grande struttura</w:t>
            </w:r>
            <w:r>
              <w:rPr>
                <w:rStyle w:val="FootnoteAnchor"/>
                <w:rFonts w:eastAsia="Arial Unicode MS" w:cs="Tahoma"/>
                <w:bCs w:val="false"/>
                <w:sz w:val="16"/>
                <w:szCs w:val="16"/>
              </w:rPr>
              <w:footnoteReference w:id="5"/>
            </w:r>
          </w:p>
          <w:p>
            <w:pPr>
              <w:pStyle w:val="Heading3"/>
              <w:numPr>
                <w:ilvl w:val="2"/>
                <w:numId w:val="1"/>
              </w:numPr>
              <w:ind w:left="0" w:right="0" w:hanging="0"/>
              <w:rPr>
                <w:rFonts w:ascii="Arial" w:hAnsi="Arial" w:eastAsia="Arial Unicode MS" w:cs="Tahoma"/>
                <w:b w:val="false"/>
                <w:bCs w:val="false"/>
                <w:sz w:val="16"/>
                <w:szCs w:val="16"/>
              </w:rPr>
            </w:pPr>
            <w:r>
              <w:rPr>
                <w:rFonts w:eastAsia="Arial Unicode MS" w:cs="Tahoma"/>
                <w:bCs w:val="false"/>
                <w:sz w:val="16"/>
                <w:szCs w:val="16"/>
              </w:rPr>
            </w:r>
            <w:r>
              <w:rPr>
                <w:rFonts w:eastAsia="Arial Unicode MS" w:cs="Tahoma"/>
                <w:bCs w:val="false"/>
                <w:sz w:val="16"/>
                <w:szCs w:val="16"/>
              </w:rPr>
              <w:t xml:space="preserve"> </w:t>
            </w:r>
            <w:r>
              <w:rPr>
                <w:rFonts w:eastAsia="Arial Unicode MS" w:cs="Tahoma"/>
                <w:b/>
                <w:bCs/>
                <w:color w:val="auto"/>
                <w:sz w:val="16"/>
                <w:szCs w:val="16"/>
              </w:rPr>
              <w:t xml:space="preserve">(*) </w:t>
            </w:r>
            <w:r>
              <w:rPr>
                <w:rFonts w:eastAsia="Arial Unicode MS" w:cs="Tahoma"/>
                <w:bCs w:val="false"/>
                <w:sz w:val="16"/>
                <w:szCs w:val="16"/>
              </w:rPr>
              <w:t>Centro commerciale</w:t>
            </w:r>
            <w:r>
              <w:rPr>
                <w:rStyle w:val="FootnoteAnchor"/>
                <w:rFonts w:eastAsia="Arial Unicode MS" w:cs="Tahoma"/>
                <w:bCs w:val="false"/>
                <w:sz w:val="16"/>
                <w:szCs w:val="16"/>
              </w:rPr>
              <w:footnoteReference w:id="6"/>
            </w:r>
          </w:p>
          <w:p>
            <w:pPr>
              <w:pStyle w:val="Normal"/>
              <w:rPr>
                <w:rFonts w:ascii="Arial" w:hAnsi="Arial"/>
                <w:sz w:val="16"/>
                <w:szCs w:val="16"/>
              </w:rPr>
            </w:pPr>
            <w:r>
              <w:rPr>
                <w:rFonts w:eastAsia="Arial Unicode MS" w:cs="Tahoma" w:ascii="Arial" w:hAnsi="Arial"/>
                <w:bCs w:val="false"/>
                <w:sz w:val="16"/>
                <w:szCs w:val="16"/>
              </w:rPr>
            </w:r>
            <w:r>
              <w:rPr>
                <w:rFonts w:eastAsia="Arial Unicode MS" w:cs="Tahoma" w:ascii="Arial" w:hAnsi="Arial"/>
                <w:bCs w:val="false"/>
                <w:sz w:val="16"/>
                <w:szCs w:val="16"/>
              </w:rPr>
              <w:t xml:space="preserve"> </w:t>
            </w:r>
            <w:r>
              <w:rPr>
                <w:rFonts w:eastAsia="Arial Unicode MS" w:cs="Tahoma" w:ascii="Arial" w:hAnsi="Arial"/>
                <w:b/>
                <w:bCs/>
                <w:color w:val="auto"/>
                <w:sz w:val="16"/>
                <w:szCs w:val="16"/>
              </w:rPr>
              <w:t xml:space="preserve">(*) </w:t>
            </w:r>
            <w:r>
              <w:rPr>
                <w:rFonts w:eastAsia="Arial Unicode MS" w:cs="Tahoma" w:ascii="Arial" w:hAnsi="Arial"/>
                <w:bCs w:val="false"/>
                <w:sz w:val="16"/>
                <w:szCs w:val="16"/>
              </w:rPr>
              <w:t>Complesso commerciale</w:t>
            </w:r>
            <w:r>
              <w:rPr>
                <w:rStyle w:val="FootnoteAnchor"/>
                <w:rFonts w:eastAsia="Arial Unicode MS" w:cs="Tahoma" w:ascii="Arial" w:hAnsi="Arial"/>
                <w:bCs w:val="false"/>
                <w:sz w:val="16"/>
                <w:szCs w:val="16"/>
              </w:rPr>
              <w:footnoteReference w:id="7"/>
            </w:r>
          </w:p>
        </w:tc>
      </w:tr>
      <w:tr>
        <w:trPr/>
        <w:tc>
          <w:tcPr>
            <w:tcW w:w="9664"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vAlign w:val="center"/>
          </w:tcPr>
          <w:p>
            <w:pPr>
              <w:pStyle w:val="Normal"/>
              <w:keepNext w:val="true"/>
              <w:snapToGrid w:val="false"/>
              <w:spacing w:lineRule="auto" w:line="240" w:before="0" w:after="0"/>
              <w:ind w:left="57" w:right="0" w:hanging="0"/>
              <w:jc w:val="center"/>
              <w:rPr>
                <w:rFonts w:ascii="Arial" w:hAnsi="Arial"/>
                <w:sz w:val="16"/>
                <w:szCs w:val="16"/>
              </w:rPr>
            </w:pPr>
            <w:r>
              <w:rPr>
                <w:rFonts w:eastAsia="Arial Unicode MS" w:cs="Tahoma" w:ascii="Arial" w:hAnsi="Arial"/>
                <w:bCs w:val="false"/>
                <w:sz w:val="16"/>
                <w:szCs w:val="16"/>
              </w:rPr>
            </w:r>
            <w:r>
              <w:rPr>
                <w:rFonts w:eastAsia="Arial Unicode MS" w:cs="Tahoma" w:ascii="Arial" w:hAnsi="Arial"/>
                <w:bCs w:val="false"/>
                <w:sz w:val="16"/>
                <w:szCs w:val="16"/>
              </w:rPr>
              <w:t xml:space="preserve"> </w:t>
            </w:r>
            <w:r>
              <w:rPr>
                <w:rFonts w:eastAsia="Arial Unicode MS" w:cs="Tahoma" w:ascii="Arial" w:hAnsi="Arial"/>
                <w:bCs w:val="false"/>
                <w:sz w:val="16"/>
                <w:szCs w:val="16"/>
              </w:rPr>
              <w:t>L' esercizio effettua la vendita esclusivamente mediante apparecchi automatici</w:t>
            </w:r>
          </w:p>
        </w:tc>
      </w:tr>
      <w:tr>
        <w:trPr>
          <w:trHeight w:val="418" w:hRule="exact"/>
        </w:trPr>
        <w:tc>
          <w:tcPr>
            <w:tcW w:w="9664"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Heading2"/>
              <w:keepNext w:val="true"/>
              <w:numPr>
                <w:ilvl w:val="0"/>
                <w:numId w:val="0"/>
              </w:numPr>
              <w:spacing w:before="57" w:after="57"/>
              <w:ind w:left="0" w:right="0" w:hanging="0"/>
              <w:rPr>
                <w:rFonts w:ascii="Arial" w:hAnsi="Arial" w:eastAsia="Arial Unicode MS" w:cs="Tahoma"/>
                <w:i w:val="false"/>
                <w:i w:val="false"/>
                <w:iCs w:val="false"/>
                <w:color w:val="0000FF"/>
                <w:sz w:val="20"/>
                <w:szCs w:val="20"/>
              </w:rPr>
            </w:pPr>
            <w:r>
              <w:rPr>
                <w:rFonts w:eastAsia="Arial Unicode MS" w:cs="Tahoma"/>
                <w:i w:val="false"/>
                <w:iCs w:val="false"/>
                <w:color w:val="0000FF"/>
                <w:sz w:val="20"/>
                <w:szCs w:val="20"/>
              </w:rPr>
              <w:t>2.2 Modalità di vendita</w:t>
            </w:r>
          </w:p>
        </w:tc>
      </w:tr>
      <w:tr>
        <w:trPr>
          <w:trHeight w:val="448" w:hRule="exact"/>
        </w:trPr>
        <w:tc>
          <w:tcPr>
            <w:tcW w:w="4639" w:type="dxa"/>
            <w:tcBorders>
              <w:left w:val="single" w:sz="4" w:space="0" w:color="000000"/>
              <w:bottom w:val="single" w:sz="4" w:space="0" w:color="000000"/>
              <w:insideH w:val="single" w:sz="4" w:space="0" w:color="000000"/>
            </w:tcBorders>
            <w:shd w:fill="auto" w:val="clear"/>
            <w:tcMar>
              <w:left w:w="50" w:type="dxa"/>
            </w:tcMar>
            <w:vAlign w:val="center"/>
          </w:tcPr>
          <w:p>
            <w:pPr>
              <w:pStyle w:val="Normal"/>
              <w:ind w:left="57" w:right="0" w:hanging="0"/>
              <w:rPr/>
            </w:pPr>
            <w:r>
              <w:rPr>
                <w:rFonts w:ascii="Arial" w:hAnsi="Arial"/>
                <w:b w:val="false"/>
                <w:bCs w:val="false"/>
                <w:sz w:val="16"/>
                <w:szCs w:val="16"/>
              </w:rPr>
            </w:r>
            <w:r>
              <w:rPr>
                <w:rFonts w:ascii="Arial" w:hAnsi="Arial"/>
                <w:b w:val="false"/>
                <w:bCs w:val="false"/>
                <w:sz w:val="16"/>
                <w:szCs w:val="16"/>
              </w:rPr>
              <w:t xml:space="preserve"> </w:t>
            </w:r>
            <w:r>
              <w:rPr>
                <w:rFonts w:ascii="Arial" w:hAnsi="Arial"/>
                <w:b w:val="false"/>
                <w:bCs w:val="false"/>
                <w:sz w:val="16"/>
                <w:szCs w:val="16"/>
              </w:rPr>
              <w:t>Vendita al dettaglio</w:t>
            </w:r>
          </w:p>
        </w:tc>
        <w:tc>
          <w:tcPr>
            <w:tcW w:w="5025"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vAlign w:val="center"/>
          </w:tcPr>
          <w:p>
            <w:pPr>
              <w:pStyle w:val="Heading3"/>
              <w:keepNext w:val="true"/>
              <w:numPr>
                <w:ilvl w:val="0"/>
                <w:numId w:val="0"/>
              </w:numPr>
              <w:ind w:left="777" w:right="0" w:hanging="0"/>
              <w:rPr>
                <w:rFonts w:ascii="Arial" w:hAnsi="Arial"/>
                <w:b w:val="false"/>
                <w:b w:val="false"/>
                <w:bCs w:val="false"/>
                <w:sz w:val="16"/>
                <w:szCs w:val="16"/>
              </w:rPr>
            </w:pPr>
            <w:r>
              <w:rPr>
                <w:b w:val="false"/>
                <w:bCs w:val="false"/>
                <w:sz w:val="16"/>
                <w:szCs w:val="16"/>
              </w:rPr>
              <w:t xml:space="preserve">superficie di vendita m </w:t>
            </w:r>
            <w:r>
              <w:rPr>
                <w:b w:val="false"/>
                <w:bCs w:val="false"/>
                <w:sz w:val="16"/>
                <w:szCs w:val="16"/>
                <w:vertAlign w:val="superscript"/>
              </w:rPr>
              <w:t>2</w:t>
            </w:r>
            <w:r>
              <w:rPr>
                <w:b w:val="false"/>
                <w:bCs w:val="false"/>
                <w:sz w:val="16"/>
                <w:szCs w:val="16"/>
              </w:rPr>
              <w:t xml:space="preserve"> </w:t>
            </w:r>
            <w:r>
              <w:rPr>
                <w:b w:val="false"/>
                <w:bCs w:val="false"/>
                <w:sz w:val="16"/>
                <w:szCs w:val="16"/>
              </w:rPr>
            </w:r>
          </w:p>
        </w:tc>
      </w:tr>
      <w:tr>
        <w:trPr>
          <w:trHeight w:val="788" w:hRule="exact"/>
        </w:trPr>
        <w:tc>
          <w:tcPr>
            <w:tcW w:w="4639" w:type="dxa"/>
            <w:tcBorders>
              <w:left w:val="single" w:sz="4" w:space="0" w:color="000000"/>
              <w:bottom w:val="single" w:sz="4" w:space="0" w:color="000000"/>
              <w:insideH w:val="single" w:sz="4" w:space="0" w:color="000000"/>
            </w:tcBorders>
            <w:shd w:fill="auto" w:val="clear"/>
            <w:tcMar>
              <w:left w:w="50" w:type="dxa"/>
            </w:tcMar>
            <w:vAlign w:val="center"/>
          </w:tcPr>
          <w:p>
            <w:pPr>
              <w:pStyle w:val="Normal"/>
              <w:ind w:left="57" w:right="0" w:hanging="0"/>
              <w:rPr/>
            </w:pPr>
            <w:r>
              <w:rPr>
                <w:rFonts w:ascii="Arial" w:hAnsi="Arial"/>
                <w:b w:val="false"/>
                <w:bCs w:val="false"/>
                <w:sz w:val="16"/>
                <w:szCs w:val="16"/>
              </w:rPr>
            </w:r>
            <w:r>
              <w:rPr>
                <w:rFonts w:ascii="Arial" w:hAnsi="Arial"/>
                <w:b w:val="false"/>
                <w:bCs w:val="false"/>
                <w:sz w:val="16"/>
                <w:szCs w:val="16"/>
              </w:rPr>
              <w:t xml:space="preserve"> </w:t>
            </w:r>
            <w:r>
              <w:rPr>
                <w:rFonts w:ascii="Arial" w:hAnsi="Arial"/>
                <w:b w:val="false"/>
                <w:bCs w:val="false"/>
                <w:sz w:val="16"/>
                <w:szCs w:val="16"/>
              </w:rPr>
              <w:t>Vendita congiunta al dettaglio e all'ingrosso</w:t>
            </w:r>
            <w:r>
              <w:rPr>
                <w:rStyle w:val="FootnoteAnchor"/>
                <w:rFonts w:ascii="Arial" w:hAnsi="Arial"/>
                <w:b w:val="false"/>
                <w:bCs w:val="false"/>
                <w:sz w:val="16"/>
                <w:szCs w:val="16"/>
              </w:rPr>
              <w:footnoteReference w:id="8"/>
            </w:r>
          </w:p>
          <w:p>
            <w:pPr>
              <w:pStyle w:val="Normal"/>
              <w:snapToGrid w:val="false"/>
              <w:spacing w:lineRule="auto" w:line="240" w:before="0" w:after="0"/>
              <w:ind w:left="57" w:right="0" w:hanging="0"/>
              <w:jc w:val="left"/>
              <w:rPr>
                <w:sz w:val="12"/>
                <w:szCs w:val="12"/>
              </w:rPr>
            </w:pPr>
            <w:r>
              <w:rPr>
                <w:rFonts w:eastAsia="Arial Unicode MS" w:cs="Tahoma" w:ascii="Arial" w:hAnsi="Arial"/>
                <w:b/>
                <w:bCs/>
                <w:color w:val="auto"/>
                <w:sz w:val="16"/>
                <w:szCs w:val="16"/>
              </w:rPr>
              <w:t xml:space="preserve">(*) </w:t>
            </w:r>
            <w:r>
              <w:rPr>
                <w:rFonts w:ascii="Arial" w:hAnsi="Arial"/>
                <w:b w:val="false"/>
                <w:bCs w:val="false"/>
                <w:sz w:val="12"/>
                <w:szCs w:val="12"/>
              </w:rPr>
              <w:t xml:space="preserve">Le superfici destinate al commercio all'ingrosso rimangono nettamente distinte dalle superfici destinate al </w:t>
            </w:r>
            <w:r>
              <w:rPr>
                <w:rFonts w:ascii="Arial" w:hAnsi="Arial"/>
                <w:b w:val="false"/>
                <w:bCs w:val="false"/>
                <w:i w:val="false"/>
                <w:iCs w:val="false"/>
                <w:sz w:val="12"/>
                <w:szCs w:val="12"/>
              </w:rPr>
              <w:t>commercio</w:t>
            </w:r>
            <w:r>
              <w:rPr>
                <w:rFonts w:ascii="Arial" w:hAnsi="Arial"/>
                <w:b w:val="false"/>
                <w:bCs w:val="false"/>
                <w:sz w:val="12"/>
                <w:szCs w:val="12"/>
              </w:rPr>
              <w:t xml:space="preserve"> al dettaglio</w:t>
            </w:r>
          </w:p>
        </w:tc>
        <w:tc>
          <w:tcPr>
            <w:tcW w:w="5025"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vAlign w:val="center"/>
          </w:tcPr>
          <w:p>
            <w:pPr>
              <w:pStyle w:val="Heading3"/>
              <w:keepNext w:val="true"/>
              <w:numPr>
                <w:ilvl w:val="0"/>
                <w:numId w:val="0"/>
              </w:numPr>
              <w:ind w:left="777" w:right="0" w:hanging="0"/>
              <w:rPr>
                <w:rFonts w:ascii="Arial" w:hAnsi="Arial"/>
                <w:b w:val="false"/>
                <w:b w:val="false"/>
                <w:bCs w:val="false"/>
                <w:sz w:val="16"/>
                <w:szCs w:val="16"/>
              </w:rPr>
            </w:pPr>
            <w:r>
              <w:rPr>
                <w:b w:val="false"/>
                <w:bCs w:val="false"/>
                <w:sz w:val="16"/>
                <w:szCs w:val="16"/>
              </w:rPr>
              <w:t xml:space="preserve">superficie di vendita m </w:t>
            </w:r>
            <w:r>
              <w:rPr>
                <w:b w:val="false"/>
                <w:bCs w:val="false"/>
                <w:sz w:val="16"/>
                <w:szCs w:val="16"/>
                <w:vertAlign w:val="superscript"/>
              </w:rPr>
              <w:t>2</w:t>
            </w:r>
            <w:r>
              <w:rPr>
                <w:b w:val="false"/>
                <w:bCs w:val="false"/>
                <w:sz w:val="16"/>
                <w:szCs w:val="16"/>
              </w:rPr>
              <w:t xml:space="preserve"> </w:t>
            </w:r>
            <w:r>
              <w:rPr>
                <w:b w:val="false"/>
                <w:bCs w:val="false"/>
                <w:sz w:val="16"/>
                <w:szCs w:val="16"/>
              </w:rPr>
            </w:r>
          </w:p>
        </w:tc>
      </w:tr>
      <w:tr>
        <w:trPr>
          <w:trHeight w:val="408" w:hRule="exact"/>
        </w:trPr>
        <w:tc>
          <w:tcPr>
            <w:tcW w:w="9664"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Heading2"/>
              <w:keepNext w:val="true"/>
              <w:numPr>
                <w:ilvl w:val="0"/>
                <w:numId w:val="0"/>
              </w:numPr>
              <w:spacing w:before="57" w:after="57"/>
              <w:ind w:left="0" w:right="0" w:hanging="0"/>
              <w:rPr>
                <w:rFonts w:ascii="Arial" w:hAnsi="Arial" w:eastAsia="Arial Unicode MS" w:cs="Tahoma"/>
                <w:i w:val="false"/>
                <w:i w:val="false"/>
                <w:iCs w:val="false"/>
                <w:color w:val="0000FF"/>
                <w:sz w:val="20"/>
                <w:szCs w:val="20"/>
              </w:rPr>
            </w:pPr>
            <w:r>
              <w:rPr>
                <w:rFonts w:eastAsia="Arial Unicode MS" w:cs="Tahoma"/>
                <w:i w:val="false"/>
                <w:iCs w:val="false"/>
                <w:color w:val="0000FF"/>
                <w:sz w:val="20"/>
                <w:szCs w:val="20"/>
              </w:rPr>
              <w:t>2.3 Esercizio a carattere</w:t>
            </w:r>
          </w:p>
        </w:tc>
      </w:tr>
      <w:tr>
        <w:trPr>
          <w:trHeight w:val="353" w:hRule="atLeast"/>
        </w:trPr>
        <w:tc>
          <w:tcPr>
            <w:tcW w:w="9664"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vAlign w:val="center"/>
          </w:tcPr>
          <w:p>
            <w:pPr>
              <w:pStyle w:val="Heading3"/>
              <w:keepNext w:val="true"/>
              <w:numPr>
                <w:ilvl w:val="0"/>
                <w:numId w:val="0"/>
              </w:numPr>
              <w:snapToGrid w:val="false"/>
              <w:spacing w:lineRule="auto" w:line="240" w:before="0" w:after="57"/>
              <w:ind w:left="777" w:right="0" w:hanging="0"/>
              <w:rPr>
                <w:rFonts w:ascii="Arial" w:hAnsi="Arial"/>
                <w:sz w:val="16"/>
                <w:szCs w:val="16"/>
              </w:rPr>
            </w:pPr>
            <w:r>
              <w:rPr>
                <w:sz w:val="16"/>
                <w:szCs w:val="16"/>
              </w:rPr>
            </w:r>
            <w:r>
              <w:rPr>
                <w:sz w:val="16"/>
                <w:szCs w:val="16"/>
              </w:rPr>
              <w:t xml:space="preserve"> </w:t>
            </w:r>
            <w:r>
              <w:rPr>
                <w:sz w:val="16"/>
                <w:szCs w:val="16"/>
              </w:rPr>
              <w:t>Permanente</w:t>
            </w:r>
          </w:p>
          <w:p>
            <w:pPr>
              <w:pStyle w:val="Heading3"/>
              <w:keepNext w:val="true"/>
              <w:numPr>
                <w:ilvl w:val="0"/>
                <w:numId w:val="0"/>
              </w:numPr>
              <w:snapToGrid w:val="false"/>
              <w:spacing w:lineRule="auto" w:line="240" w:before="0" w:after="57"/>
              <w:ind w:left="777" w:right="0" w:hanging="0"/>
              <w:rPr>
                <w:sz w:val="16"/>
                <w:szCs w:val="16"/>
              </w:rPr>
            </w:pPr>
            <w:r>
              <w:rPr>
                <w:sz w:val="16"/>
                <w:szCs w:val="16"/>
              </w:rPr>
            </w:r>
            <w:r>
              <w:rPr>
                <w:sz w:val="16"/>
                <w:szCs w:val="16"/>
              </w:rPr>
              <w:t xml:space="preserve"> </w:t>
            </w:r>
            <w:r>
              <w:rPr>
                <w:rFonts w:eastAsia="Arial Unicode MS" w:cs="Tahoma"/>
                <w:b/>
                <w:bCs/>
                <w:color w:val="auto"/>
                <w:sz w:val="16"/>
                <w:szCs w:val="16"/>
              </w:rPr>
              <w:t xml:space="preserve">(*)  </w:t>
            </w:r>
            <w:r>
              <w:rPr>
                <w:sz w:val="16"/>
                <w:szCs w:val="16"/>
              </w:rPr>
              <w:t>Stagionale</w:t>
            </w:r>
            <w:r>
              <w:rPr>
                <w:rStyle w:val="FootnoteAnchor"/>
                <w:sz w:val="16"/>
                <w:szCs w:val="16"/>
              </w:rPr>
              <w:footnoteReference w:id="9"/>
            </w:r>
            <w:r>
              <w:rPr>
                <w:rFonts w:eastAsia="Arial Unicode MS" w:cs="Tahoma"/>
                <w:i/>
                <w:iCs/>
                <w:sz w:val="16"/>
                <w:szCs w:val="16"/>
              </w:rPr>
              <w:t xml:space="preserve"> </w:t>
            </w:r>
            <w:r>
              <w:rPr>
                <w:rFonts w:eastAsia="Arial Unicode MS" w:cs="Arial"/>
                <w:i/>
                <w:iCs/>
                <w:sz w:val="16"/>
                <w:szCs w:val="16"/>
              </w:rPr>
              <w:t>dal</w:t>
            </w:r>
            <w:r>
              <w:rPr>
                <w:rFonts w:eastAsia="Arial Unicode MS" w:cs="Arial"/>
                <w:i/>
                <w:iCs/>
                <w:sz w:val="20"/>
                <w:szCs w:val="20"/>
              </w:rPr>
              <w:t xml:space="preserve"> </w:t>
            </w:r>
            <w:r>
              <w:rPr>
                <w:rFonts w:eastAsia="Arial Unicode MS" w:cs="Arial"/>
                <w:i/>
                <w:iCs/>
                <w:sz w:val="20"/>
                <w:szCs w:val="20"/>
              </w:rPr>
            </w:r>
            <w:r>
              <w:rPr>
                <w:rFonts w:eastAsia="Arial Unicode MS" w:cs="Arial"/>
                <w:i/>
                <w:iCs/>
                <w:sz w:val="20"/>
                <w:szCs w:val="20"/>
              </w:rPr>
              <w:t xml:space="preserve"> </w:t>
            </w:r>
            <w:r>
              <w:rPr>
                <w:rFonts w:eastAsia="Arial Unicode MS" w:cs="Arial"/>
                <w:i/>
                <w:iCs/>
                <w:sz w:val="16"/>
                <w:szCs w:val="16"/>
              </w:rPr>
              <w:t xml:space="preserve">al </w:t>
            </w:r>
            <w:r>
              <w:rPr>
                <w:rFonts w:eastAsia="Arial Unicode MS" w:cs="Arial"/>
                <w:i/>
                <w:iCs/>
                <w:sz w:val="12"/>
                <w:szCs w:val="12"/>
              </w:rPr>
              <w:t>(gg/mm)</w:t>
            </w:r>
            <w:r>
              <w:rPr>
                <w:rFonts w:eastAsia="Arial Unicode MS" w:cs="Arial"/>
                <w:i/>
                <w:iCs/>
                <w:sz w:val="16"/>
                <w:szCs w:val="16"/>
              </w:rPr>
              <w:t xml:space="preserve"> </w:t>
            </w:r>
            <w:r>
              <w:rPr>
                <w:rFonts w:eastAsia="Arial Unicode MS" w:cs="Arial"/>
                <w:i/>
                <w:iCs/>
                <w:sz w:val="16"/>
                <w:szCs w:val="16"/>
              </w:rPr>
            </w:r>
          </w:p>
          <w:p>
            <w:pPr>
              <w:pStyle w:val="Heading3"/>
              <w:keepNext w:val="true"/>
              <w:numPr>
                <w:ilvl w:val="0"/>
                <w:numId w:val="0"/>
              </w:numPr>
              <w:snapToGrid w:val="false"/>
              <w:spacing w:lineRule="auto" w:line="240" w:before="0" w:after="0"/>
              <w:ind w:left="777" w:right="0" w:hanging="0"/>
              <w:rPr>
                <w:sz w:val="16"/>
                <w:szCs w:val="16"/>
              </w:rPr>
            </w:pPr>
            <w:r>
              <w:rPr>
                <w:sz w:val="16"/>
                <w:szCs w:val="16"/>
              </w:rPr>
            </w:r>
            <w:r>
              <w:rPr>
                <w:sz w:val="16"/>
                <w:szCs w:val="16"/>
              </w:rPr>
              <w:t xml:space="preserve"> </w:t>
            </w:r>
            <w:r>
              <w:rPr>
                <w:rFonts w:eastAsia="Arial Unicode MS" w:cs="Tahoma"/>
                <w:b/>
                <w:bCs/>
                <w:color w:val="auto"/>
                <w:sz w:val="16"/>
                <w:szCs w:val="16"/>
              </w:rPr>
              <w:t xml:space="preserve">(*)  </w:t>
            </w:r>
            <w:r>
              <w:rPr>
                <w:sz w:val="16"/>
                <w:szCs w:val="16"/>
              </w:rPr>
              <w:t>Temporaneo</w:t>
            </w:r>
            <w:r>
              <w:rPr>
                <w:rStyle w:val="FootnoteAnchor"/>
                <w:sz w:val="16"/>
                <w:szCs w:val="16"/>
              </w:rPr>
              <w:footnoteReference w:id="10"/>
            </w:r>
            <w:r>
              <w:rPr>
                <w:sz w:val="16"/>
                <w:szCs w:val="16"/>
              </w:rPr>
              <w:t xml:space="preserve"> dal</w:t>
            </w:r>
            <w:r>
              <w:rPr>
                <w:rFonts w:eastAsia="Arial Unicode MS" w:cs="Tahoma"/>
                <w:sz w:val="16"/>
                <w:szCs w:val="16"/>
              </w:rPr>
              <w:t xml:space="preserve"> </w:t>
            </w:r>
            <w:r>
              <w:rPr>
                <w:rFonts w:eastAsia="Arial Unicode MS" w:cs="Tahoma"/>
                <w:sz w:val="16"/>
                <w:szCs w:val="16"/>
              </w:rPr>
            </w:r>
            <w:sdt>
              <w:sdtPr>
                <w:date>
                  <w:dateFormat w:val=""/>
                  <w:lid w:val="en-US"/>
                  <w:storeMappedDataAs w:val="dateTime"/>
                  <w:calendar w:val="gregorian"/>
                </w:date>
              </w:sdtPr>
              <w:sdtContent>
                <w:r/>
              </w:sdtContent>
            </w:sdt>
            <w:r>
              <w:rPr>
                <w:rFonts w:eastAsia="Arial Unicode MS" w:cs="Tahoma"/>
                <w:sz w:val="16"/>
                <w:szCs w:val="16"/>
              </w:rPr>
              <w:t xml:space="preserve">  al </w:t>
            </w:r>
            <w:r>
              <w:rPr>
                <w:rFonts w:eastAsia="Arial Unicode MS" w:cs="Tahoma"/>
                <w:sz w:val="16"/>
                <w:szCs w:val="16"/>
              </w:rPr>
            </w:r>
            <w:sdt>
              <w:sdtPr>
                <w:date>
                  <w:dateFormat w:val=""/>
                  <w:lid w:val="en-US"/>
                  <w:storeMappedDataAs w:val="dateTime"/>
                  <w:calendar w:val="gregorian"/>
                </w:date>
              </w:sdtPr>
              <w:sdtContent>
                <w:r/>
              </w:sdtContent>
            </w:sdt>
            <w:r>
              <w:rPr>
                <w:rFonts w:eastAsia="Arial Unicode MS" w:cs="Tahoma"/>
                <w:sz w:val="16"/>
                <w:szCs w:val="16"/>
              </w:rPr>
              <w:t xml:space="preserve"> </w:t>
            </w:r>
            <w:r>
              <w:rPr>
                <w:rFonts w:eastAsia="Arial Unicode MS" w:cs="Tahoma"/>
                <w:i/>
                <w:iCs/>
                <w:sz w:val="12"/>
                <w:szCs w:val="12"/>
              </w:rPr>
              <w:t>(gg/mm/aaaa)</w:t>
            </w:r>
          </w:p>
        </w:tc>
      </w:tr>
      <w:tr>
        <w:trPr>
          <w:trHeight w:val="353" w:hRule="atLeast"/>
        </w:trPr>
        <w:tc>
          <w:tcPr>
            <w:tcW w:w="9664"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vAlign w:val="center"/>
          </w:tcPr>
          <w:p>
            <w:pPr>
              <w:pStyle w:val="Heading2"/>
              <w:keepNext w:val="true"/>
              <w:numPr>
                <w:ilvl w:val="0"/>
                <w:numId w:val="0"/>
              </w:numPr>
              <w:snapToGrid w:val="false"/>
              <w:spacing w:lineRule="auto" w:line="240" w:before="57" w:after="57"/>
              <w:ind w:left="0" w:right="0" w:hanging="0"/>
              <w:rPr>
                <w:rFonts w:ascii="Arial" w:hAnsi="Arial" w:eastAsia="Arial Unicode MS" w:cs="Tahoma"/>
                <w:i w:val="false"/>
                <w:i w:val="false"/>
                <w:iCs w:val="false"/>
                <w:color w:val="0000FF"/>
                <w:sz w:val="20"/>
                <w:szCs w:val="20"/>
              </w:rPr>
            </w:pPr>
            <w:r>
              <w:rPr>
                <w:rFonts w:eastAsia="Arial Unicode MS" w:cs="Tahoma"/>
                <w:i w:val="false"/>
                <w:iCs w:val="false"/>
                <w:color w:val="0000FF"/>
                <w:sz w:val="20"/>
                <w:szCs w:val="20"/>
              </w:rPr>
              <w:t>2.4 Esercizio collocato in centro commerciale o complesso commerciale</w:t>
            </w:r>
          </w:p>
        </w:tc>
      </w:tr>
      <w:tr>
        <w:trPr>
          <w:trHeight w:val="353" w:hRule="atLeast"/>
        </w:trPr>
        <w:tc>
          <w:tcPr>
            <w:tcW w:w="9664"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vAlign w:val="center"/>
          </w:tcPr>
          <w:p>
            <w:pPr>
              <w:pStyle w:val="Normal"/>
              <w:rPr>
                <w:rFonts w:ascii="Arial" w:hAnsi="Arial"/>
                <w:sz w:val="16"/>
                <w:szCs w:val="16"/>
              </w:rPr>
            </w:pPr>
            <w:r>
              <w:rPr>
                <w:rFonts w:eastAsia="Arial Unicode MS" w:cs="Tahoma" w:ascii="Arial" w:hAnsi="Arial"/>
                <w:bCs w:val="false"/>
                <w:sz w:val="16"/>
                <w:szCs w:val="16"/>
              </w:rPr>
            </w:r>
            <w:r>
              <w:rPr>
                <w:rFonts w:eastAsia="Arial Unicode MS" w:cs="Tahoma" w:ascii="Arial" w:hAnsi="Arial"/>
                <w:bCs w:val="false"/>
                <w:sz w:val="16"/>
                <w:szCs w:val="16"/>
              </w:rPr>
              <w:t xml:space="preserve"> </w:t>
            </w:r>
            <w:r>
              <w:rPr>
                <w:rFonts w:eastAsia="Arial Unicode MS" w:cs="Tahoma" w:ascii="Arial" w:hAnsi="Arial"/>
                <w:bCs w:val="false"/>
                <w:sz w:val="16"/>
                <w:szCs w:val="16"/>
              </w:rPr>
              <w:t xml:space="preserve">Si denominazione </w:t>
            </w:r>
            <w:r>
              <w:rPr>
                <w:rFonts w:eastAsia="Arial Unicode MS" w:cs="Tahoma" w:ascii="Arial" w:hAnsi="Arial"/>
                <w:bCs w:val="false"/>
                <w:sz w:val="16"/>
                <w:szCs w:val="16"/>
              </w:rPr>
            </w:r>
            <w:r>
              <w:rPr>
                <w:rFonts w:eastAsia="Arial Unicode MS" w:cs="Tahoma" w:ascii="Arial" w:hAnsi="Arial"/>
                <w:bCs w:val="false"/>
                <w:sz w:val="16"/>
                <w:szCs w:val="16"/>
              </w:rPr>
              <w:t xml:space="preserve"> </w:t>
            </w:r>
          </w:p>
          <w:p>
            <w:pPr>
              <w:pStyle w:val="Normal"/>
              <w:rPr>
                <w:rFonts w:ascii="Arial" w:hAnsi="Arial"/>
                <w:sz w:val="16"/>
                <w:szCs w:val="16"/>
              </w:rPr>
            </w:pPr>
            <w:r>
              <w:rPr>
                <w:rFonts w:eastAsia="Arial Unicode MS" w:cs="Tahoma" w:ascii="Arial" w:hAnsi="Arial"/>
                <w:bCs w:val="false"/>
                <w:sz w:val="16"/>
                <w:szCs w:val="16"/>
              </w:rPr>
            </w:r>
            <w:r>
              <w:rPr>
                <w:rFonts w:eastAsia="Arial Unicode MS" w:cs="Tahoma" w:ascii="Arial" w:hAnsi="Arial"/>
                <w:bCs w:val="false"/>
                <w:sz w:val="16"/>
                <w:szCs w:val="16"/>
              </w:rPr>
              <w:t xml:space="preserve"> </w:t>
            </w:r>
            <w:r>
              <w:rPr>
                <w:rFonts w:eastAsia="Arial Unicode MS" w:cs="Tahoma" w:ascii="Arial" w:hAnsi="Arial"/>
                <w:bCs w:val="false"/>
                <w:sz w:val="16"/>
                <w:szCs w:val="16"/>
              </w:rPr>
              <w:t xml:space="preserve">No </w:t>
            </w:r>
          </w:p>
        </w:tc>
      </w:tr>
      <w:tr>
        <w:trPr>
          <w:trHeight w:val="353" w:hRule="atLeast"/>
        </w:trPr>
        <w:tc>
          <w:tcPr>
            <w:tcW w:w="9664"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vAlign w:val="center"/>
          </w:tcPr>
          <w:p>
            <w:pPr>
              <w:pStyle w:val="Heading2"/>
              <w:keepNext w:val="true"/>
              <w:numPr>
                <w:ilvl w:val="0"/>
                <w:numId w:val="0"/>
              </w:numPr>
              <w:snapToGrid w:val="false"/>
              <w:spacing w:lineRule="auto" w:line="240" w:before="57" w:after="57"/>
              <w:ind w:left="0" w:right="0" w:hanging="0"/>
              <w:rPr>
                <w:rFonts w:ascii="Arial" w:hAnsi="Arial" w:eastAsia="Arial Unicode MS" w:cs="Tahoma"/>
                <w:i w:val="false"/>
                <w:i w:val="false"/>
                <w:iCs w:val="false"/>
                <w:color w:val="0000FF"/>
                <w:sz w:val="20"/>
                <w:szCs w:val="20"/>
              </w:rPr>
            </w:pPr>
            <w:r>
              <w:rPr>
                <w:rFonts w:eastAsia="Arial Unicode MS" w:cs="Tahoma"/>
                <w:i w:val="false"/>
                <w:iCs w:val="false"/>
                <w:color w:val="0000FF"/>
                <w:sz w:val="20"/>
                <w:szCs w:val="20"/>
              </w:rPr>
              <w:t>2.5 Settori merceologici</w:t>
            </w:r>
            <w:r>
              <w:rPr>
                <w:rStyle w:val="FootnoteAnchor"/>
                <w:rFonts w:eastAsia="Arial Unicode MS" w:cs="Tahoma"/>
                <w:i w:val="false"/>
                <w:iCs w:val="false"/>
                <w:color w:val="0000FF"/>
                <w:sz w:val="20"/>
                <w:szCs w:val="20"/>
              </w:rPr>
              <w:footnoteReference w:id="11"/>
            </w:r>
            <w:r>
              <w:rPr>
                <w:rFonts w:eastAsia="Arial Unicode MS" w:cs="Tahoma"/>
                <w:i w:val="false"/>
                <w:iCs w:val="false"/>
                <w:color w:val="0000FF"/>
                <w:sz w:val="20"/>
                <w:szCs w:val="20"/>
              </w:rPr>
              <w:t xml:space="preserve"> e superfici di vendita</w:t>
            </w:r>
            <w:r>
              <w:rPr>
                <w:rStyle w:val="FootnoteAnchor"/>
                <w:rFonts w:eastAsia="Arial Unicode MS" w:cs="Tahoma"/>
                <w:i w:val="false"/>
                <w:iCs w:val="false"/>
                <w:color w:val="0000FF"/>
                <w:sz w:val="20"/>
                <w:szCs w:val="20"/>
              </w:rPr>
              <w:footnoteReference w:id="12"/>
            </w:r>
          </w:p>
        </w:tc>
      </w:tr>
      <w:tr>
        <w:trPr>
          <w:trHeight w:val="448" w:hRule="exact"/>
        </w:trPr>
        <w:tc>
          <w:tcPr>
            <w:tcW w:w="6271" w:type="dxa"/>
            <w:gridSpan w:val="2"/>
            <w:tcBorders>
              <w:left w:val="single" w:sz="4" w:space="0" w:color="000000"/>
              <w:bottom w:val="single" w:sz="4" w:space="0" w:color="000000"/>
              <w:insideH w:val="single" w:sz="4" w:space="0" w:color="000000"/>
            </w:tcBorders>
            <w:shd w:fill="auto" w:val="clear"/>
            <w:tcMar>
              <w:left w:w="50" w:type="dxa"/>
            </w:tcMar>
            <w:vAlign w:val="center"/>
          </w:tcPr>
          <w:p>
            <w:pPr>
              <w:pStyle w:val="Heading3"/>
              <w:numPr>
                <w:ilvl w:val="2"/>
                <w:numId w:val="1"/>
              </w:numPr>
              <w:ind w:left="57" w:right="0" w:hanging="0"/>
              <w:rPr>
                <w:rFonts w:ascii="Arial" w:hAnsi="Arial"/>
                <w:b w:val="false"/>
                <w:b w:val="false"/>
                <w:bCs w:val="false"/>
                <w:sz w:val="16"/>
                <w:szCs w:val="16"/>
              </w:rPr>
            </w:pPr>
            <w:r>
              <w:rPr>
                <w:b w:val="false"/>
                <w:bCs w:val="false"/>
                <w:sz w:val="16"/>
                <w:szCs w:val="16"/>
              </w:rPr>
            </w:r>
            <w:r>
              <w:rPr>
                <w:b w:val="false"/>
                <w:bCs w:val="false"/>
                <w:sz w:val="16"/>
                <w:szCs w:val="16"/>
              </w:rPr>
              <w:t xml:space="preserve"> </w:t>
            </w:r>
            <w:r>
              <w:rPr>
                <w:b w:val="false"/>
                <w:bCs w:val="false"/>
                <w:sz w:val="16"/>
                <w:szCs w:val="16"/>
              </w:rPr>
              <w:t xml:space="preserve">Alimentare </w:t>
            </w:r>
          </w:p>
        </w:tc>
        <w:tc>
          <w:tcPr>
            <w:tcW w:w="3393"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vAlign w:val="center"/>
          </w:tcPr>
          <w:p>
            <w:pPr>
              <w:pStyle w:val="Heading3"/>
              <w:keepNext w:val="true"/>
              <w:numPr>
                <w:ilvl w:val="0"/>
                <w:numId w:val="0"/>
              </w:numPr>
              <w:ind w:left="777" w:right="0" w:hanging="0"/>
              <w:rPr>
                <w:rFonts w:ascii="Arial" w:hAnsi="Arial"/>
                <w:b w:val="false"/>
                <w:b w:val="false"/>
                <w:bCs w:val="false"/>
                <w:sz w:val="16"/>
                <w:szCs w:val="16"/>
              </w:rPr>
            </w:pPr>
            <w:r>
              <w:rPr>
                <w:b w:val="false"/>
                <w:bCs w:val="false"/>
                <w:sz w:val="16"/>
                <w:szCs w:val="16"/>
              </w:rPr>
              <w:t xml:space="preserve">superficie di vendita m </w:t>
            </w:r>
            <w:r>
              <w:rPr>
                <w:b w:val="false"/>
                <w:bCs w:val="false"/>
                <w:sz w:val="16"/>
                <w:szCs w:val="16"/>
                <w:vertAlign w:val="superscript"/>
              </w:rPr>
              <w:t>2</w:t>
            </w:r>
            <w:r>
              <w:rPr>
                <w:b w:val="false"/>
                <w:bCs w:val="false"/>
                <w:sz w:val="16"/>
                <w:szCs w:val="16"/>
              </w:rPr>
              <w:t xml:space="preserve"> </w:t>
            </w:r>
            <w:r>
              <w:rPr>
                <w:b w:val="false"/>
                <w:bCs w:val="false"/>
                <w:sz w:val="16"/>
                <w:szCs w:val="16"/>
              </w:rPr>
            </w:r>
          </w:p>
        </w:tc>
      </w:tr>
      <w:tr>
        <w:trPr>
          <w:trHeight w:val="380" w:hRule="atLeast"/>
        </w:trPr>
        <w:tc>
          <w:tcPr>
            <w:tcW w:w="6271" w:type="dxa"/>
            <w:gridSpan w:val="2"/>
            <w:tcBorders>
              <w:left w:val="single" w:sz="4" w:space="0" w:color="000000"/>
              <w:bottom w:val="single" w:sz="4" w:space="0" w:color="000000"/>
              <w:insideH w:val="single" w:sz="4" w:space="0" w:color="000000"/>
            </w:tcBorders>
            <w:shd w:fill="auto" w:val="clear"/>
            <w:tcMar>
              <w:left w:w="50" w:type="dxa"/>
            </w:tcMar>
            <w:vAlign w:val="center"/>
          </w:tcPr>
          <w:p>
            <w:pPr>
              <w:pStyle w:val="Heading3"/>
              <w:numPr>
                <w:ilvl w:val="2"/>
                <w:numId w:val="1"/>
              </w:numPr>
              <w:ind w:left="57" w:right="0" w:hanging="0"/>
              <w:rPr>
                <w:rFonts w:ascii="Arial" w:hAnsi="Arial"/>
                <w:b w:val="false"/>
                <w:b w:val="false"/>
                <w:bCs w:val="false"/>
                <w:sz w:val="16"/>
                <w:szCs w:val="16"/>
              </w:rPr>
            </w:pPr>
            <w:r>
              <w:rPr>
                <w:b w:val="false"/>
                <w:bCs w:val="false"/>
                <w:sz w:val="16"/>
                <w:szCs w:val="16"/>
              </w:rPr>
            </w:r>
            <w:r>
              <w:rPr>
                <w:b w:val="false"/>
                <w:bCs w:val="false"/>
                <w:sz w:val="16"/>
                <w:szCs w:val="16"/>
              </w:rPr>
              <w:t xml:space="preserve"> </w:t>
            </w:r>
            <w:r>
              <w:rPr>
                <w:b w:val="false"/>
                <w:bCs w:val="false"/>
                <w:sz w:val="16"/>
                <w:szCs w:val="16"/>
              </w:rPr>
              <w:t xml:space="preserve">Non alimentare </w:t>
            </w:r>
          </w:p>
        </w:tc>
        <w:tc>
          <w:tcPr>
            <w:tcW w:w="3393"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vAlign w:val="center"/>
          </w:tcPr>
          <w:p>
            <w:pPr>
              <w:pStyle w:val="Heading3"/>
              <w:keepNext w:val="true"/>
              <w:numPr>
                <w:ilvl w:val="0"/>
                <w:numId w:val="0"/>
              </w:numPr>
              <w:ind w:left="777" w:right="0" w:hanging="0"/>
              <w:rPr>
                <w:rFonts w:ascii="Arial" w:hAnsi="Arial"/>
                <w:b w:val="false"/>
                <w:b w:val="false"/>
                <w:bCs w:val="false"/>
                <w:sz w:val="16"/>
                <w:szCs w:val="16"/>
              </w:rPr>
            </w:pPr>
            <w:r>
              <w:rPr>
                <w:b w:val="false"/>
                <w:bCs w:val="false"/>
                <w:sz w:val="16"/>
                <w:szCs w:val="16"/>
              </w:rPr>
              <w:t xml:space="preserve">superficie di vendita m </w:t>
            </w:r>
            <w:r>
              <w:rPr>
                <w:b w:val="false"/>
                <w:bCs w:val="false"/>
                <w:sz w:val="16"/>
                <w:szCs w:val="16"/>
                <w:vertAlign w:val="superscript"/>
              </w:rPr>
              <w:t>2</w:t>
            </w:r>
            <w:r>
              <w:rPr>
                <w:b w:val="false"/>
                <w:bCs w:val="false"/>
                <w:sz w:val="16"/>
                <w:szCs w:val="16"/>
              </w:rPr>
              <w:t xml:space="preserve"> </w:t>
            </w:r>
            <w:r>
              <w:rPr>
                <w:b w:val="false"/>
                <w:bCs w:val="false"/>
                <w:sz w:val="16"/>
                <w:szCs w:val="16"/>
              </w:rPr>
            </w:r>
          </w:p>
        </w:tc>
      </w:tr>
      <w:tr>
        <w:trPr>
          <w:trHeight w:val="380" w:hRule="atLeast"/>
        </w:trPr>
        <w:tc>
          <w:tcPr>
            <w:tcW w:w="9664"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vAlign w:val="center"/>
          </w:tcPr>
          <w:p>
            <w:pPr>
              <w:pStyle w:val="Normal"/>
              <w:snapToGrid w:val="false"/>
              <w:spacing w:lineRule="auto" w:line="240" w:before="0" w:after="0"/>
              <w:ind w:left="57" w:right="0" w:hanging="0"/>
              <w:jc w:val="center"/>
              <w:rPr/>
            </w:pPr>
            <w:r>
              <w:rPr>
                <w:rFonts w:ascii="Arial" w:hAnsi="Arial"/>
                <w:b w:val="false"/>
                <w:bCs w:val="false"/>
                <w:sz w:val="16"/>
                <w:szCs w:val="16"/>
              </w:rPr>
              <w:t xml:space="preserve">Superficie di vendita complessiva in m </w:t>
            </w:r>
            <w:r>
              <w:rPr>
                <w:rFonts w:ascii="Arial" w:hAnsi="Arial"/>
                <w:b w:val="false"/>
                <w:bCs w:val="false"/>
                <w:sz w:val="16"/>
                <w:szCs w:val="16"/>
                <w:vertAlign w:val="superscript"/>
              </w:rPr>
              <w:t>2</w:t>
            </w:r>
            <w:r>
              <w:rPr>
                <w:rFonts w:ascii="Arial" w:hAnsi="Arial"/>
                <w:b w:val="false"/>
                <w:bCs w:val="false"/>
                <w:sz w:val="16"/>
                <w:szCs w:val="16"/>
              </w:rPr>
              <w:t xml:space="preserve"> </w:t>
            </w:r>
            <w:r>
              <w:rPr>
                <w:rFonts w:ascii="Arial" w:hAnsi="Arial"/>
                <w:b w:val="false"/>
                <w:bCs w:val="false"/>
                <w:sz w:val="16"/>
                <w:szCs w:val="16"/>
              </w:rPr>
            </w:r>
          </w:p>
          <w:p>
            <w:pPr>
              <w:pStyle w:val="Normal"/>
              <w:snapToGrid w:val="false"/>
              <w:spacing w:lineRule="auto" w:line="240" w:before="0" w:after="0"/>
              <w:ind w:left="57" w:right="0" w:hanging="0"/>
              <w:jc w:val="center"/>
              <w:rPr>
                <w:rFonts w:ascii="Arial" w:hAnsi="Arial"/>
                <w:b w:val="false"/>
                <w:b w:val="false"/>
                <w:bCs w:val="false"/>
                <w:i/>
                <w:i/>
                <w:iCs/>
                <w:sz w:val="12"/>
                <w:szCs w:val="12"/>
              </w:rPr>
            </w:pPr>
            <w:r>
              <w:rPr>
                <w:rFonts w:ascii="Arial" w:hAnsi="Arial"/>
                <w:b w:val="false"/>
                <w:bCs w:val="false"/>
                <w:i/>
                <w:iCs/>
                <w:sz w:val="12"/>
                <w:szCs w:val="12"/>
              </w:rPr>
              <w:t>(la superficie da indicare deve essere uguale alla somma delle superfici sopra riportate)</w:t>
            </w:r>
          </w:p>
          <w:p>
            <w:pPr>
              <w:pStyle w:val="Normal"/>
              <w:snapToGrid w:val="false"/>
              <w:spacing w:lineRule="auto" w:line="240" w:before="0" w:after="0"/>
              <w:ind w:left="57" w:right="0" w:hanging="0"/>
              <w:rPr>
                <w:rFonts w:ascii="Arial" w:hAnsi="Arial"/>
                <w:b/>
                <w:b/>
                <w:bCs/>
                <w:i w:val="false"/>
                <w:i w:val="false"/>
                <w:iCs w:val="false"/>
                <w:sz w:val="16"/>
                <w:szCs w:val="16"/>
              </w:rPr>
            </w:pPr>
            <w:r>
              <w:rPr>
                <w:rFonts w:ascii="Arial" w:hAnsi="Arial"/>
                <w:b/>
                <w:bCs/>
                <w:i w:val="false"/>
                <w:iCs w:val="false"/>
                <w:sz w:val="16"/>
                <w:szCs w:val="16"/>
              </w:rPr>
              <w:t>di cui:</w:t>
            </w:r>
          </w:p>
        </w:tc>
      </w:tr>
      <w:tr>
        <w:trPr>
          <w:trHeight w:val="450" w:hRule="atLeast"/>
        </w:trPr>
        <w:tc>
          <w:tcPr>
            <w:tcW w:w="6271" w:type="dxa"/>
            <w:gridSpan w:val="2"/>
            <w:tcBorders>
              <w:left w:val="single" w:sz="4" w:space="0" w:color="000000"/>
              <w:bottom w:val="single" w:sz="4" w:space="0" w:color="000000"/>
              <w:insideH w:val="single" w:sz="4" w:space="0" w:color="000000"/>
            </w:tcBorders>
            <w:shd w:fill="auto" w:val="clear"/>
            <w:tcMar>
              <w:left w:w="50" w:type="dxa"/>
            </w:tcMar>
            <w:vAlign w:val="center"/>
          </w:tcPr>
          <w:p>
            <w:pPr>
              <w:pStyle w:val="Heading3"/>
              <w:numPr>
                <w:ilvl w:val="2"/>
                <w:numId w:val="1"/>
              </w:numPr>
              <w:ind w:left="57" w:right="0" w:hanging="0"/>
              <w:rPr>
                <w:rFonts w:ascii="Arial" w:hAnsi="Arial"/>
                <w:b w:val="false"/>
                <w:b w:val="false"/>
                <w:bCs w:val="false"/>
                <w:sz w:val="16"/>
                <w:szCs w:val="16"/>
              </w:rPr>
            </w:pPr>
            <w:r>
              <w:rPr>
                <w:b w:val="false"/>
                <w:bCs w:val="false"/>
                <w:sz w:val="16"/>
                <w:szCs w:val="16"/>
              </w:rPr>
            </w:r>
            <w:r>
              <w:rPr>
                <w:b w:val="false"/>
                <w:bCs w:val="false"/>
                <w:sz w:val="16"/>
                <w:szCs w:val="16"/>
              </w:rPr>
              <w:t xml:space="preserve"> </w:t>
            </w:r>
            <w:r>
              <w:rPr>
                <w:rFonts w:cs="Arial"/>
                <w:b/>
                <w:bCs/>
                <w:color w:val="auto"/>
                <w:sz w:val="16"/>
                <w:szCs w:val="16"/>
              </w:rPr>
              <w:t xml:space="preserve">(*) </w:t>
            </w:r>
            <w:r>
              <w:rPr>
                <w:rFonts w:cs="Arial"/>
                <w:b w:val="false"/>
                <w:bCs w:val="false"/>
                <w:color w:val="auto"/>
                <w:sz w:val="16"/>
                <w:szCs w:val="16"/>
              </w:rPr>
              <w:t>G</w:t>
            </w:r>
            <w:r>
              <w:rPr>
                <w:b w:val="false"/>
                <w:bCs w:val="false"/>
                <w:sz w:val="16"/>
                <w:szCs w:val="16"/>
              </w:rPr>
              <w:t xml:space="preserve">eneri non alimentari a basso impatto </w:t>
            </w:r>
          </w:p>
        </w:tc>
        <w:tc>
          <w:tcPr>
            <w:tcW w:w="3393"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vAlign w:val="center"/>
          </w:tcPr>
          <w:p>
            <w:pPr>
              <w:pStyle w:val="TableContents"/>
              <w:ind w:left="57" w:right="0" w:hanging="0"/>
              <w:rPr>
                <w:rFonts w:ascii="Arial" w:hAnsi="Arial"/>
                <w:b w:val="false"/>
                <w:b w:val="false"/>
                <w:bCs w:val="false"/>
                <w:sz w:val="16"/>
                <w:szCs w:val="16"/>
              </w:rPr>
            </w:pPr>
            <w:r>
              <w:rPr>
                <w:rFonts w:ascii="Arial" w:hAnsi="Arial"/>
                <w:b w:val="false"/>
                <w:bCs w:val="false"/>
                <w:sz w:val="16"/>
                <w:szCs w:val="16"/>
              </w:rPr>
              <w:t xml:space="preserve">superficie di vendita m </w:t>
            </w:r>
            <w:r>
              <w:rPr>
                <w:rFonts w:ascii="Arial" w:hAnsi="Arial"/>
                <w:b w:val="false"/>
                <w:bCs w:val="false"/>
                <w:sz w:val="16"/>
                <w:szCs w:val="16"/>
                <w:vertAlign w:val="superscript"/>
              </w:rPr>
              <w:t>2</w:t>
            </w:r>
            <w:r>
              <w:rPr>
                <w:rFonts w:ascii="Arial" w:hAnsi="Arial"/>
                <w:b w:val="false"/>
                <w:bCs w:val="false"/>
                <w:sz w:val="16"/>
                <w:szCs w:val="16"/>
              </w:rPr>
              <w:t xml:space="preserve"> </w:t>
            </w:r>
            <w:r>
              <w:rPr>
                <w:rFonts w:ascii="Arial" w:hAnsi="Arial"/>
                <w:b w:val="false"/>
                <w:bCs w:val="false"/>
                <w:sz w:val="16"/>
                <w:szCs w:val="16"/>
              </w:rPr>
            </w:r>
          </w:p>
        </w:tc>
      </w:tr>
      <w:tr>
        <w:trPr>
          <w:trHeight w:val="450" w:hRule="atLeast"/>
        </w:trPr>
        <w:tc>
          <w:tcPr>
            <w:tcW w:w="9664"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vAlign w:val="center"/>
          </w:tcPr>
          <w:p>
            <w:pPr>
              <w:pStyle w:val="Normal"/>
              <w:snapToGrid w:val="false"/>
              <w:spacing w:lineRule="auto" w:line="240" w:before="0" w:after="0"/>
              <w:ind w:left="57" w:right="0" w:hanging="0"/>
              <w:jc w:val="center"/>
              <w:rPr>
                <w:rFonts w:ascii="Arial" w:hAnsi="Arial"/>
                <w:b w:val="false"/>
                <w:b w:val="false"/>
                <w:bCs w:val="false"/>
                <w:i w:val="false"/>
                <w:i w:val="false"/>
                <w:iCs w:val="false"/>
                <w:sz w:val="16"/>
                <w:szCs w:val="16"/>
              </w:rPr>
            </w:pPr>
            <w:r>
              <w:rPr>
                <w:rFonts w:ascii="Arial" w:hAnsi="Arial"/>
                <w:b w:val="false"/>
                <w:bCs w:val="false"/>
                <w:i w:val="false"/>
                <w:iCs w:val="false"/>
                <w:sz w:val="16"/>
                <w:szCs w:val="16"/>
              </w:rPr>
              <w:t>Prodotti appartenenti alle seguenti Tabelle speciali</w:t>
            </w:r>
          </w:p>
        </w:tc>
      </w:tr>
      <w:tr>
        <w:trPr>
          <w:trHeight w:val="375" w:hRule="atLeast"/>
        </w:trPr>
        <w:tc>
          <w:tcPr>
            <w:tcW w:w="6271" w:type="dxa"/>
            <w:gridSpan w:val="2"/>
            <w:tcBorders>
              <w:left w:val="single" w:sz="4" w:space="0" w:color="000000"/>
              <w:bottom w:val="single" w:sz="4" w:space="0" w:color="000000"/>
              <w:insideH w:val="single" w:sz="4" w:space="0" w:color="000000"/>
            </w:tcBorders>
            <w:shd w:fill="auto" w:val="clear"/>
            <w:tcMar>
              <w:left w:w="50" w:type="dxa"/>
            </w:tcMar>
          </w:tcPr>
          <w:p>
            <w:pPr>
              <w:pStyle w:val="Normal"/>
              <w:snapToGrid w:val="false"/>
              <w:ind w:left="57" w:right="0" w:hanging="0"/>
              <w:rPr>
                <w:rFonts w:ascii="Arial" w:hAnsi="Arial"/>
                <w:sz w:val="16"/>
                <w:szCs w:val="16"/>
              </w:rPr>
            </w:pPr>
            <w:r>
              <w:rPr>
                <w:rFonts w:ascii="Arial" w:hAnsi="Arial"/>
                <w:sz w:val="16"/>
                <w:szCs w:val="16"/>
              </w:rPr>
            </w:r>
            <w:r>
              <w:rPr>
                <w:rFonts w:ascii="Arial" w:hAnsi="Arial"/>
                <w:sz w:val="16"/>
                <w:szCs w:val="16"/>
              </w:rPr>
              <w:t xml:space="preserve"> </w:t>
            </w:r>
            <w:r>
              <w:rPr>
                <w:rFonts w:ascii="Arial" w:hAnsi="Arial"/>
                <w:sz w:val="16"/>
                <w:szCs w:val="16"/>
              </w:rPr>
              <w:t xml:space="preserve">Generi di monopolio  </w:t>
            </w:r>
          </w:p>
        </w:tc>
        <w:tc>
          <w:tcPr>
            <w:tcW w:w="3393"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Heading3"/>
              <w:keepNext w:val="true"/>
              <w:numPr>
                <w:ilvl w:val="0"/>
                <w:numId w:val="0"/>
              </w:numPr>
              <w:ind w:left="777" w:right="0" w:hanging="0"/>
              <w:rPr>
                <w:rFonts w:ascii="Arial" w:hAnsi="Arial"/>
                <w:b w:val="false"/>
                <w:b w:val="false"/>
                <w:bCs w:val="false"/>
                <w:sz w:val="16"/>
                <w:szCs w:val="16"/>
              </w:rPr>
            </w:pPr>
            <w:r>
              <w:rPr>
                <w:b w:val="false"/>
                <w:bCs w:val="false"/>
                <w:sz w:val="16"/>
                <w:szCs w:val="16"/>
              </w:rPr>
              <w:t xml:space="preserve">superficie di vendita m </w:t>
            </w:r>
            <w:r>
              <w:rPr>
                <w:b w:val="false"/>
                <w:bCs w:val="false"/>
                <w:sz w:val="16"/>
                <w:szCs w:val="16"/>
                <w:vertAlign w:val="superscript"/>
              </w:rPr>
              <w:t>2</w:t>
            </w:r>
            <w:r>
              <w:rPr>
                <w:b w:val="false"/>
                <w:bCs w:val="false"/>
                <w:sz w:val="16"/>
                <w:szCs w:val="16"/>
              </w:rPr>
              <w:t xml:space="preserve"> </w:t>
            </w:r>
            <w:r>
              <w:rPr>
                <w:b w:val="false"/>
                <w:bCs w:val="false"/>
                <w:sz w:val="16"/>
                <w:szCs w:val="16"/>
              </w:rPr>
            </w:r>
          </w:p>
        </w:tc>
      </w:tr>
      <w:tr>
        <w:trPr>
          <w:trHeight w:val="353" w:hRule="atLeast"/>
        </w:trPr>
        <w:tc>
          <w:tcPr>
            <w:tcW w:w="6271" w:type="dxa"/>
            <w:gridSpan w:val="2"/>
            <w:tcBorders>
              <w:left w:val="single" w:sz="4" w:space="0" w:color="000000"/>
              <w:bottom w:val="single" w:sz="4" w:space="0" w:color="000000"/>
              <w:insideH w:val="single" w:sz="4" w:space="0" w:color="000000"/>
            </w:tcBorders>
            <w:shd w:fill="auto" w:val="clear"/>
            <w:tcMar>
              <w:left w:w="50" w:type="dxa"/>
            </w:tcMar>
          </w:tcPr>
          <w:p>
            <w:pPr>
              <w:pStyle w:val="Normal"/>
              <w:snapToGrid w:val="false"/>
              <w:ind w:left="57" w:right="0" w:hanging="0"/>
              <w:rPr>
                <w:rFonts w:ascii="Arial" w:hAnsi="Arial"/>
                <w:sz w:val="16"/>
                <w:szCs w:val="16"/>
              </w:rPr>
            </w:pPr>
            <w:r>
              <w:rPr>
                <w:rFonts w:ascii="Arial" w:hAnsi="Arial"/>
                <w:sz w:val="16"/>
                <w:szCs w:val="16"/>
              </w:rPr>
            </w:r>
            <w:r>
              <w:rPr>
                <w:rFonts w:ascii="Arial" w:hAnsi="Arial"/>
                <w:sz w:val="16"/>
                <w:szCs w:val="16"/>
              </w:rPr>
              <w:t xml:space="preserve"> </w:t>
            </w:r>
            <w:r>
              <w:rPr>
                <w:rFonts w:ascii="Arial" w:hAnsi="Arial"/>
                <w:sz w:val="16"/>
                <w:szCs w:val="16"/>
              </w:rPr>
              <w:t>Farmacie</w:t>
            </w:r>
          </w:p>
        </w:tc>
        <w:tc>
          <w:tcPr>
            <w:tcW w:w="3393"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Heading3"/>
              <w:keepNext w:val="true"/>
              <w:numPr>
                <w:ilvl w:val="0"/>
                <w:numId w:val="0"/>
              </w:numPr>
              <w:ind w:left="777" w:right="0" w:hanging="0"/>
              <w:rPr>
                <w:rFonts w:ascii="Arial" w:hAnsi="Arial"/>
                <w:b w:val="false"/>
                <w:b w:val="false"/>
                <w:bCs w:val="false"/>
                <w:sz w:val="16"/>
                <w:szCs w:val="16"/>
              </w:rPr>
            </w:pPr>
            <w:r>
              <w:rPr>
                <w:b w:val="false"/>
                <w:bCs w:val="false"/>
                <w:sz w:val="16"/>
                <w:szCs w:val="16"/>
              </w:rPr>
              <w:t xml:space="preserve">superficie di vendita m </w:t>
            </w:r>
            <w:r>
              <w:rPr>
                <w:b w:val="false"/>
                <w:bCs w:val="false"/>
                <w:sz w:val="16"/>
                <w:szCs w:val="16"/>
                <w:vertAlign w:val="superscript"/>
              </w:rPr>
              <w:t>2</w:t>
            </w:r>
            <w:r>
              <w:rPr>
                <w:b w:val="false"/>
                <w:bCs w:val="false"/>
                <w:sz w:val="16"/>
                <w:szCs w:val="16"/>
              </w:rPr>
              <w:t xml:space="preserve"> </w:t>
            </w:r>
            <w:r>
              <w:rPr>
                <w:b w:val="false"/>
                <w:bCs w:val="false"/>
                <w:sz w:val="16"/>
                <w:szCs w:val="16"/>
              </w:rPr>
            </w:r>
          </w:p>
        </w:tc>
      </w:tr>
      <w:tr>
        <w:trPr>
          <w:trHeight w:val="353" w:hRule="atLeast"/>
        </w:trPr>
        <w:tc>
          <w:tcPr>
            <w:tcW w:w="6271" w:type="dxa"/>
            <w:gridSpan w:val="2"/>
            <w:tcBorders>
              <w:left w:val="single" w:sz="4" w:space="0" w:color="000000"/>
              <w:bottom w:val="single" w:sz="4" w:space="0" w:color="000000"/>
              <w:insideH w:val="single" w:sz="4" w:space="0" w:color="000000"/>
            </w:tcBorders>
            <w:shd w:fill="auto" w:val="clear"/>
            <w:tcMar>
              <w:left w:w="50" w:type="dxa"/>
            </w:tcMar>
          </w:tcPr>
          <w:p>
            <w:pPr>
              <w:pStyle w:val="Normal"/>
              <w:snapToGrid w:val="false"/>
              <w:ind w:left="57" w:right="0" w:hanging="0"/>
              <w:rPr>
                <w:rFonts w:ascii="Arial" w:hAnsi="Arial"/>
                <w:sz w:val="16"/>
                <w:szCs w:val="16"/>
              </w:rPr>
            </w:pPr>
            <w:r>
              <w:rPr>
                <w:rFonts w:ascii="Arial" w:hAnsi="Arial"/>
                <w:sz w:val="16"/>
                <w:szCs w:val="16"/>
              </w:rPr>
            </w:r>
            <w:r>
              <w:rPr>
                <w:rFonts w:ascii="Arial" w:hAnsi="Arial"/>
                <w:sz w:val="16"/>
                <w:szCs w:val="16"/>
              </w:rPr>
              <w:t xml:space="preserve"> </w:t>
            </w:r>
            <w:r>
              <w:rPr>
                <w:rFonts w:ascii="Arial" w:hAnsi="Arial"/>
                <w:sz w:val="16"/>
                <w:szCs w:val="16"/>
              </w:rPr>
              <w:t>Carburanti</w:t>
            </w:r>
          </w:p>
        </w:tc>
        <w:tc>
          <w:tcPr>
            <w:tcW w:w="3393"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Heading3"/>
              <w:keepNext w:val="true"/>
              <w:numPr>
                <w:ilvl w:val="0"/>
                <w:numId w:val="0"/>
              </w:numPr>
              <w:ind w:left="777" w:right="0" w:hanging="0"/>
              <w:rPr>
                <w:rFonts w:ascii="Arial" w:hAnsi="Arial"/>
                <w:b w:val="false"/>
                <w:b w:val="false"/>
                <w:bCs w:val="false"/>
                <w:sz w:val="16"/>
                <w:szCs w:val="16"/>
              </w:rPr>
            </w:pPr>
            <w:r>
              <w:rPr>
                <w:b w:val="false"/>
                <w:bCs w:val="false"/>
                <w:sz w:val="16"/>
                <w:szCs w:val="16"/>
              </w:rPr>
              <w:t xml:space="preserve">superficie di vendita m </w:t>
            </w:r>
            <w:r>
              <w:rPr>
                <w:b w:val="false"/>
                <w:bCs w:val="false"/>
                <w:sz w:val="16"/>
                <w:szCs w:val="16"/>
                <w:vertAlign w:val="superscript"/>
              </w:rPr>
              <w:t>2</w:t>
            </w:r>
            <w:r>
              <w:rPr>
                <w:b w:val="false"/>
                <w:bCs w:val="false"/>
                <w:sz w:val="16"/>
                <w:szCs w:val="16"/>
              </w:rPr>
              <w:t xml:space="preserve"> </w:t>
            </w:r>
            <w:r>
              <w:rPr>
                <w:b w:val="false"/>
                <w:bCs w:val="false"/>
                <w:sz w:val="16"/>
                <w:szCs w:val="16"/>
              </w:rPr>
            </w:r>
          </w:p>
        </w:tc>
      </w:tr>
      <w:tr>
        <w:trPr>
          <w:trHeight w:val="353" w:hRule="atLeast"/>
        </w:trPr>
        <w:tc>
          <w:tcPr>
            <w:tcW w:w="6271" w:type="dxa"/>
            <w:gridSpan w:val="2"/>
            <w:tcBorders>
              <w:left w:val="single" w:sz="4" w:space="0" w:color="000000"/>
              <w:bottom w:val="single" w:sz="4" w:space="0" w:color="000000"/>
              <w:insideH w:val="single" w:sz="4" w:space="0" w:color="000000"/>
            </w:tcBorders>
            <w:shd w:fill="auto" w:val="clear"/>
            <w:tcMar>
              <w:left w:w="50" w:type="dxa"/>
            </w:tcMar>
          </w:tcPr>
          <w:p>
            <w:pPr>
              <w:pStyle w:val="Normal"/>
              <w:snapToGrid w:val="false"/>
              <w:ind w:left="57" w:right="0" w:hanging="0"/>
              <w:rPr>
                <w:rFonts w:ascii="Arial" w:hAnsi="Arial" w:cs="Arial"/>
                <w:sz w:val="16"/>
                <w:szCs w:val="16"/>
              </w:rPr>
            </w:pPr>
            <w:r>
              <w:rPr>
                <w:rFonts w:cs="Arial" w:ascii="Arial" w:hAnsi="Arial"/>
                <w:sz w:val="16"/>
                <w:szCs w:val="16"/>
              </w:rPr>
            </w:r>
            <w:r>
              <w:rPr>
                <w:rFonts w:cs="Arial" w:ascii="Arial" w:hAnsi="Arial"/>
                <w:sz w:val="16"/>
                <w:szCs w:val="16"/>
              </w:rPr>
              <w:t xml:space="preserve"> </w:t>
            </w:r>
            <w:r>
              <w:rPr>
                <w:rFonts w:cs="Arial" w:ascii="Arial" w:hAnsi="Arial"/>
                <w:b/>
                <w:bCs/>
                <w:color w:val="auto"/>
                <w:sz w:val="16"/>
                <w:szCs w:val="16"/>
              </w:rPr>
              <w:t xml:space="preserve">(*) </w:t>
            </w:r>
            <w:r>
              <w:rPr>
                <w:rFonts w:cs="Arial" w:ascii="Arial" w:hAnsi="Arial"/>
                <w:b w:val="false"/>
                <w:bCs w:val="false"/>
                <w:color w:val="auto"/>
                <w:sz w:val="16"/>
                <w:szCs w:val="16"/>
              </w:rPr>
              <w:t>A</w:t>
            </w:r>
            <w:r>
              <w:rPr>
                <w:rFonts w:cs="Arial" w:ascii="Arial" w:hAnsi="Arial"/>
                <w:sz w:val="16"/>
                <w:szCs w:val="16"/>
              </w:rPr>
              <w:t>ttività integrative di commercio presso impianti di distribuzione carburante ad uso pubblico</w:t>
            </w:r>
          </w:p>
        </w:tc>
        <w:tc>
          <w:tcPr>
            <w:tcW w:w="3393"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Heading3"/>
              <w:keepNext w:val="true"/>
              <w:numPr>
                <w:ilvl w:val="0"/>
                <w:numId w:val="0"/>
              </w:numPr>
              <w:ind w:left="777" w:right="0" w:hanging="0"/>
              <w:rPr>
                <w:rFonts w:ascii="Arial" w:hAnsi="Arial"/>
                <w:b w:val="false"/>
                <w:b w:val="false"/>
                <w:bCs w:val="false"/>
                <w:sz w:val="16"/>
                <w:szCs w:val="16"/>
              </w:rPr>
            </w:pPr>
            <w:r>
              <w:rPr>
                <w:b w:val="false"/>
                <w:bCs w:val="false"/>
                <w:sz w:val="16"/>
                <w:szCs w:val="16"/>
              </w:rPr>
              <w:t xml:space="preserve">superficie di vendita m </w:t>
            </w:r>
            <w:r>
              <w:rPr>
                <w:b w:val="false"/>
                <w:bCs w:val="false"/>
                <w:sz w:val="16"/>
                <w:szCs w:val="16"/>
                <w:vertAlign w:val="superscript"/>
              </w:rPr>
              <w:t>2</w:t>
            </w:r>
            <w:r>
              <w:rPr>
                <w:b w:val="false"/>
                <w:bCs w:val="false"/>
                <w:sz w:val="16"/>
                <w:szCs w:val="16"/>
              </w:rPr>
              <w:t xml:space="preserve"> </w:t>
            </w:r>
            <w:r>
              <w:rPr>
                <w:b w:val="false"/>
                <w:bCs w:val="false"/>
                <w:sz w:val="16"/>
                <w:szCs w:val="16"/>
              </w:rPr>
            </w:r>
          </w:p>
        </w:tc>
      </w:tr>
    </w:tbl>
    <w:p>
      <w:pPr>
        <w:pStyle w:val="Normal"/>
        <w:rPr>
          <w:sz w:val="16"/>
          <w:szCs w:val="16"/>
        </w:rPr>
      </w:pPr>
      <w:r>
        <w:rPr>
          <w:sz w:val="16"/>
          <w:szCs w:val="16"/>
        </w:rPr>
      </w:r>
    </w:p>
    <w:tbl>
      <w:tblPr>
        <w:tblW w:w="964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4798"/>
        <w:gridCol w:w="23"/>
        <w:gridCol w:w="4824"/>
      </w:tblGrid>
      <w:tr>
        <w:trPr>
          <w:trHeight w:val="284" w:hRule="atLeast"/>
        </w:trPr>
        <w:tc>
          <w:tcPr>
            <w:tcW w:w="964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Heading2"/>
              <w:keepNext w:val="true"/>
              <w:numPr>
                <w:ilvl w:val="0"/>
                <w:numId w:val="0"/>
              </w:numPr>
              <w:snapToGrid w:val="false"/>
              <w:spacing w:before="68" w:after="62"/>
              <w:ind w:left="0" w:right="0" w:hanging="0"/>
              <w:rPr>
                <w:rFonts w:ascii="Arial" w:hAnsi="Arial" w:eastAsia="Arial Unicode MS" w:cs="Tahoma"/>
                <w:b/>
                <w:b/>
                <w:i w:val="false"/>
                <w:i w:val="false"/>
                <w:iCs w:val="false"/>
                <w:color w:val="0000FF"/>
                <w:sz w:val="20"/>
                <w:szCs w:val="20"/>
              </w:rPr>
            </w:pPr>
            <w:r>
              <w:rPr>
                <w:rFonts w:eastAsia="Arial Unicode MS" w:cs="Tahoma"/>
                <w:b/>
                <w:i w:val="false"/>
                <w:iCs w:val="false"/>
                <w:color w:val="0000FF"/>
                <w:sz w:val="20"/>
                <w:szCs w:val="20"/>
              </w:rPr>
              <w:t>Dichiarazioni generali ai sensi e per gli effetti degli art. 46 e 47 del D.P.R. 445/2000</w:t>
            </w:r>
          </w:p>
        </w:tc>
      </w:tr>
      <w:tr>
        <w:trPr>
          <w:trHeight w:val="397" w:hRule="atLeast"/>
        </w:trPr>
        <w:tc>
          <w:tcPr>
            <w:tcW w:w="964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57" w:after="57"/>
              <w:jc w:val="center"/>
              <w:rPr>
                <w:rFonts w:ascii="Arial" w:hAnsi="Arial" w:cs="Arial"/>
                <w:b/>
                <w:b/>
              </w:rPr>
            </w:pPr>
            <w:r>
              <w:rPr>
                <w:rFonts w:cs="Arial" w:ascii="Arial" w:hAnsi="Arial"/>
                <w:b/>
              </w:rPr>
              <w:t>IL SOTTOSCRITTO/LA SOTTOSCRITTA</w:t>
            </w:r>
          </w:p>
        </w:tc>
      </w:tr>
      <w:tr>
        <w:trPr>
          <w:trHeight w:val="397" w:hRule="atLeast"/>
        </w:trPr>
        <w:tc>
          <w:tcPr>
            <w:tcW w:w="4798"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rPr>
                <w:rFonts w:ascii="Arial" w:hAnsi="Arial" w:cs="Arial"/>
                <w:sz w:val="16"/>
                <w:szCs w:val="16"/>
              </w:rPr>
            </w:pPr>
            <w:r>
              <w:rPr>
                <w:rFonts w:cs="Arial" w:ascii="Arial" w:hAnsi="Arial"/>
                <w:sz w:val="16"/>
                <w:szCs w:val="16"/>
              </w:rPr>
              <w:t xml:space="preserve">Cognome </w:t>
            </w:r>
            <w:r>
              <w:rPr>
                <w:rFonts w:cs="Arial" w:ascii="Arial" w:hAnsi="Arial"/>
                <w:sz w:val="16"/>
                <w:szCs w:val="16"/>
              </w:rPr>
            </w:r>
            <w:r>
              <w:rPr>
                <w:rFonts w:cs="Arial" w:ascii="Arial" w:hAnsi="Arial"/>
                <w:sz w:val="16"/>
                <w:szCs w:val="16"/>
              </w:rPr>
              <w:t xml:space="preserve"> </w:t>
            </w:r>
          </w:p>
        </w:tc>
        <w:tc>
          <w:tcPr>
            <w:tcW w:w="484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rPr/>
            </w:pPr>
            <w:r>
              <w:rPr>
                <w:rFonts w:cs="Arial" w:ascii="Arial" w:hAnsi="Arial"/>
                <w:sz w:val="16"/>
                <w:szCs w:val="16"/>
              </w:rPr>
              <w:t xml:space="preserve">Nome </w:t>
            </w:r>
            <w:r>
              <w:rPr>
                <w:rFonts w:cs="Arial" w:ascii="Arial" w:hAnsi="Arial"/>
                <w:sz w:val="16"/>
                <w:szCs w:val="16"/>
              </w:rPr>
            </w:r>
            <w:r>
              <w:rPr>
                <w:rFonts w:cs="Arial" w:ascii="Arial" w:hAnsi="Arial"/>
                <w:sz w:val="16"/>
                <w:szCs w:val="16"/>
              </w:rPr>
              <w:t xml:space="preserve"> </w:t>
            </w:r>
          </w:p>
        </w:tc>
      </w:tr>
      <w:tr>
        <w:trPr>
          <w:trHeight w:val="397" w:hRule="atLeast"/>
        </w:trPr>
        <w:tc>
          <w:tcPr>
            <w:tcW w:w="4798"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rPr>
                <w:rFonts w:ascii="Arial" w:hAnsi="Arial" w:cs="Arial"/>
                <w:sz w:val="16"/>
                <w:szCs w:val="16"/>
              </w:rPr>
            </w:pPr>
            <w:r>
              <w:rPr>
                <w:rFonts w:cs="Arial" w:ascii="Arial" w:hAnsi="Arial"/>
                <w:sz w:val="16"/>
                <w:szCs w:val="16"/>
              </w:rPr>
              <w:t xml:space="preserve">Data di nascita </w:t>
            </w:r>
            <w:r>
              <w:rPr>
                <w:rFonts w:cs="Arial" w:ascii="Arial" w:hAnsi="Arial"/>
                <w:sz w:val="16"/>
                <w:szCs w:val="16"/>
              </w:rPr>
            </w:r>
            <w:sdt>
              <w:sdtPr>
                <w:date w:fullDate="1900-01-01T00:00:00Z">
                  <w:dateFormat w:val="dd/MM/yyyy"/>
                  <w:lid w:val="en-US"/>
                  <w:storeMappedDataAs w:val="dateTime"/>
                  <w:calendar w:val="gregorian"/>
                </w:date>
              </w:sdtPr>
              <w:sdtContent>
                <w:r>
                  <w:t>01/01/1900</w:t>
                </w:r>
              </w:sdtContent>
            </w:sdt>
            <w:r>
              <w:rPr>
                <w:rFonts w:cs="Arial" w:ascii="Arial" w:hAnsi="Arial"/>
                <w:sz w:val="16"/>
                <w:szCs w:val="16"/>
              </w:rPr>
              <w:t xml:space="preserve"> </w:t>
            </w:r>
          </w:p>
        </w:tc>
        <w:tc>
          <w:tcPr>
            <w:tcW w:w="484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rPr>
                <w:rFonts w:ascii="Arial" w:hAnsi="Arial" w:cs="Arial"/>
                <w:sz w:val="16"/>
                <w:szCs w:val="16"/>
              </w:rPr>
            </w:pPr>
            <w:r>
              <w:rPr>
                <w:rFonts w:cs="Arial" w:ascii="Arial" w:hAnsi="Arial"/>
                <w:sz w:val="16"/>
                <w:szCs w:val="16"/>
              </w:rPr>
              <w:t xml:space="preserve">Codice Fiscale </w:t>
            </w:r>
            <w:r>
              <w:rPr>
                <w:rFonts w:cs="Arial" w:ascii="Arial" w:hAnsi="Arial"/>
                <w:sz w:val="16"/>
                <w:szCs w:val="16"/>
              </w:rPr>
            </w:r>
          </w:p>
        </w:tc>
      </w:tr>
      <w:tr>
        <w:trPr>
          <w:trHeight w:val="397" w:hRule="atLeast"/>
        </w:trPr>
        <w:tc>
          <w:tcPr>
            <w:tcW w:w="9645"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rPr>
                <w:rFonts w:ascii="Arial" w:hAnsi="Arial"/>
                <w:b w:val="false"/>
                <w:i w:val="false"/>
                <w:sz w:val="16"/>
              </w:rPr>
            </w:pPr>
            <w:r>
              <w:rPr>
                <w:rFonts w:ascii="Arial" w:hAnsi="Arial"/>
                <w:b w:val="false"/>
                <w:i w:val="false"/>
                <w:sz w:val="16"/>
              </w:rPr>
              <w:t>Luogo nascita</w:t>
            </w:r>
          </w:p>
        </w:tc>
      </w:tr>
      <w:tr>
        <w:trPr>
          <w:trHeight w:val="397" w:hRule="atLeast"/>
        </w:trPr>
        <w:tc>
          <w:tcPr>
            <w:tcW w:w="4821" w:type="dxa"/>
            <w:gridSpan w:val="2"/>
            <w:tcBorders>
              <w:left w:val="single" w:sz="4" w:space="0" w:color="000000"/>
              <w:bottom w:val="single" w:sz="4" w:space="0" w:color="000000"/>
              <w:insideH w:val="single" w:sz="4" w:space="0" w:color="000000"/>
            </w:tcBorders>
            <w:shd w:fill="auto" w:val="clear"/>
            <w:tcMar>
              <w:left w:w="103" w:type="dxa"/>
            </w:tcMar>
            <w:vAlign w:val="center"/>
          </w:tcPr>
          <w:p>
            <w:pPr>
              <w:pStyle w:val="Normal"/>
              <w:rPr>
                <w:rFonts w:ascii="Arial" w:hAnsi="Arial" w:cs="Arial"/>
                <w:b w:val="false"/>
                <w:i w:val="false"/>
                <w:sz w:val="16"/>
                <w:szCs w:val="16"/>
              </w:rPr>
            </w:pPr>
            <w:r>
              <w:rPr>
                <w:rFonts w:cs="Arial" w:ascii="Arial" w:hAnsi="Arial"/>
                <w:b w:val="false"/>
                <w:i w:val="false"/>
                <w:sz w:val="16"/>
                <w:szCs w:val="16"/>
              </w:rPr>
              <w:t xml:space="preserve">Comune: </w:t>
            </w:r>
            <w:r>
              <w:rPr>
                <w:rFonts w:cs="Arial" w:ascii="Arial" w:hAnsi="Arial"/>
                <w:b w:val="false"/>
                <w:i w:val="false"/>
                <w:sz w:val="16"/>
                <w:szCs w:val="16"/>
              </w:rPr>
            </w:r>
            <w:r>
              <w:rPr>
                <w:rFonts w:cs="Arial" w:ascii="Arial" w:hAnsi="Arial"/>
                <w:b w:val="false"/>
                <w:i w:val="false"/>
                <w:sz w:val="16"/>
                <w:szCs w:val="16"/>
              </w:rPr>
              <w:t xml:space="preserve"> </w:t>
            </w:r>
          </w:p>
        </w:tc>
        <w:tc>
          <w:tcPr>
            <w:tcW w:w="482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rPr>
                <w:rFonts w:ascii="Arial" w:hAnsi="Arial" w:cs="Arial"/>
                <w:b w:val="false"/>
                <w:i w:val="false"/>
                <w:sz w:val="16"/>
                <w:szCs w:val="16"/>
              </w:rPr>
            </w:pPr>
            <w:r>
              <w:rPr>
                <w:rFonts w:cs="Arial" w:ascii="Arial" w:hAnsi="Arial"/>
                <w:b w:val="false"/>
                <w:i w:val="false"/>
                <w:sz w:val="16"/>
                <w:szCs w:val="16"/>
              </w:rPr>
              <w:t xml:space="preserve">Provincia: </w:t>
            </w:r>
            <w:r>
              <w:rPr>
                <w:rFonts w:cs="Arial" w:ascii="Arial" w:hAnsi="Arial"/>
                <w:b w:val="false"/>
                <w:i w:val="false"/>
                <w:sz w:val="16"/>
                <w:szCs w:val="16"/>
              </w:rPr>
            </w:r>
            <w:r>
              <w:rPr>
                <w:rFonts w:cs="Arial" w:ascii="Arial" w:hAnsi="Arial"/>
                <w:b w:val="false"/>
                <w:i w:val="false"/>
                <w:sz w:val="16"/>
                <w:szCs w:val="16"/>
              </w:rPr>
              <w:t xml:space="preserve"> </w:t>
            </w:r>
          </w:p>
        </w:tc>
      </w:tr>
      <w:tr>
        <w:trPr>
          <w:trHeight w:val="450" w:hRule="atLeast"/>
        </w:trPr>
        <w:tc>
          <w:tcPr>
            <w:tcW w:w="4821" w:type="dxa"/>
            <w:gridSpan w:val="2"/>
            <w:tcBorders>
              <w:left w:val="single" w:sz="4" w:space="0" w:color="000000"/>
              <w:bottom w:val="single" w:sz="4" w:space="0" w:color="000000"/>
              <w:insideH w:val="single" w:sz="4" w:space="0" w:color="000000"/>
            </w:tcBorders>
            <w:shd w:fill="auto" w:val="clear"/>
            <w:tcMar>
              <w:left w:w="103" w:type="dxa"/>
            </w:tcMar>
            <w:vAlign w:val="center"/>
          </w:tcPr>
          <w:p>
            <w:pPr>
              <w:pStyle w:val="Normal"/>
              <w:rPr/>
            </w:pPr>
            <w:r>
              <w:rPr>
                <w:rFonts w:cs="Arial" w:ascii="Arial" w:hAnsi="Arial"/>
                <w:b w:val="false"/>
                <w:i w:val="false"/>
                <w:sz w:val="16"/>
                <w:szCs w:val="16"/>
              </w:rPr>
              <w:t xml:space="preserve">Città estera: </w:t>
            </w:r>
            <w:r>
              <w:rPr>
                <w:rFonts w:cs="Arial" w:ascii="Arial" w:hAnsi="Arial"/>
                <w:b w:val="false"/>
                <w:i w:val="false"/>
                <w:sz w:val="16"/>
                <w:szCs w:val="16"/>
              </w:rPr>
            </w:r>
            <w:r>
              <w:rPr>
                <w:rFonts w:cs="Arial" w:ascii="Arial" w:hAnsi="Arial"/>
                <w:b w:val="false"/>
                <w:i w:val="false"/>
                <w:sz w:val="16"/>
                <w:szCs w:val="16"/>
              </w:rPr>
              <w:t xml:space="preserve"> </w:t>
            </w:r>
          </w:p>
        </w:tc>
        <w:tc>
          <w:tcPr>
            <w:tcW w:w="482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rPr>
                <w:rFonts w:ascii="Arial" w:hAnsi="Arial" w:cs="Arial"/>
                <w:b w:val="false"/>
                <w:i w:val="false"/>
                <w:sz w:val="16"/>
                <w:szCs w:val="16"/>
              </w:rPr>
            </w:pPr>
            <w:r>
              <w:rPr>
                <w:rFonts w:cs="Arial" w:ascii="Arial" w:hAnsi="Arial"/>
                <w:b w:val="false"/>
                <w:i w:val="false"/>
                <w:sz w:val="16"/>
                <w:szCs w:val="16"/>
              </w:rPr>
              <w:t xml:space="preserve">Stato: </w:t>
            </w:r>
            <w:r>
              <w:rPr>
                <w:rFonts w:cs="Arial" w:ascii="Arial" w:hAnsi="Arial"/>
                <w:b w:val="false"/>
                <w:i w:val="false"/>
                <w:sz w:val="16"/>
                <w:szCs w:val="16"/>
              </w:rPr>
            </w:r>
            <w:r>
              <w:rPr>
                <w:rFonts w:cs="Arial" w:ascii="Arial" w:hAnsi="Arial"/>
                <w:b w:val="false"/>
                <w:i w:val="false"/>
                <w:sz w:val="16"/>
                <w:szCs w:val="16"/>
              </w:rPr>
              <w:t xml:space="preserve"> </w:t>
            </w:r>
          </w:p>
        </w:tc>
      </w:tr>
      <w:tr>
        <w:trPr>
          <w:trHeight w:val="527" w:hRule="atLeast"/>
        </w:trPr>
        <w:tc>
          <w:tcPr>
            <w:tcW w:w="964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57" w:after="57"/>
              <w:jc w:val="both"/>
              <w:rPr>
                <w:rFonts w:ascii="Arial" w:hAnsi="Arial" w:cs="Arial"/>
                <w:i/>
                <w:i/>
                <w:sz w:val="16"/>
                <w:szCs w:val="16"/>
              </w:rPr>
            </w:pPr>
            <w:r>
              <w:rPr>
                <w:rFonts w:cs="Arial" w:ascii="Arial" w:hAnsi="Arial"/>
                <w:i/>
                <w:sz w:val="16"/>
                <w:szCs w:val="16"/>
              </w:rPr>
              <w:t>consapevole delle sanzioni penali previste dalla legge per le false dichiarazioni e attestazioni (art. 76 del D.P.R. n°445 del 28/12/2000 e Codice penale), sotto la propria responsabilità,</w:t>
            </w:r>
          </w:p>
        </w:tc>
      </w:tr>
      <w:tr>
        <w:trPr>
          <w:trHeight w:val="236" w:hRule="atLeast"/>
        </w:trPr>
        <w:tc>
          <w:tcPr>
            <w:tcW w:w="964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center"/>
              <w:rPr>
                <w:rFonts w:ascii="Arial" w:hAnsi="Arial" w:cs="Arial"/>
                <w:b/>
                <w:b/>
              </w:rPr>
            </w:pPr>
            <w:r>
              <w:rPr>
                <w:rFonts w:cs="Arial" w:ascii="Arial" w:hAnsi="Arial"/>
                <w:b/>
              </w:rPr>
              <w:t>DICHIARA</w:t>
            </w:r>
          </w:p>
        </w:tc>
      </w:tr>
      <w:tr>
        <w:trPr>
          <w:trHeight w:val="527" w:hRule="atLeast"/>
        </w:trPr>
        <w:tc>
          <w:tcPr>
            <w:tcW w:w="9645"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rFonts w:ascii="Arial" w:hAnsi="Arial" w:cs="Arial"/>
                <w:sz w:val="16"/>
                <w:szCs w:val="16"/>
              </w:rPr>
            </w:pPr>
            <w:r>
              <w:rPr>
                <w:rFonts w:cs="Arial" w:ascii="Arial" w:hAnsi="Arial"/>
                <w:b/>
                <w:bCs/>
                <w:color w:val="auto"/>
                <w:sz w:val="16"/>
                <w:szCs w:val="16"/>
              </w:rPr>
              <w:t xml:space="preserve">(*) </w:t>
            </w:r>
            <w:r>
              <w:rPr>
                <w:rFonts w:cs="Arial" w:ascii="Arial" w:hAnsi="Arial"/>
                <w:sz w:val="16"/>
                <w:szCs w:val="16"/>
              </w:rPr>
              <w:t>di svolgere l’attività nel rispetto della normativa igienico-sanitaria, urbanistico-edilizia, ambientale e relativa alla destinazione d’uso  dei locali, alla prevenzione incendi, alla tutela della salute e sicurezza nei luoghi di lavoro, all'impatto acustico, nonché al superamento delle barriere architettoniche</w:t>
            </w:r>
          </w:p>
        </w:tc>
      </w:tr>
      <w:tr>
        <w:trPr>
          <w:trHeight w:val="527" w:hRule="atLeast"/>
        </w:trPr>
        <w:tc>
          <w:tcPr>
            <w:tcW w:w="9645"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left"/>
              <w:rPr>
                <w:rFonts w:ascii="Arial" w:hAnsi="Arial"/>
                <w:sz w:val="16"/>
                <w:szCs w:val="16"/>
              </w:rPr>
            </w:pPr>
            <w:r>
              <w:rPr>
                <w:rFonts w:cs="Arial" w:ascii="Arial" w:hAnsi="Arial"/>
                <w:sz w:val="16"/>
                <w:szCs w:val="16"/>
              </w:rPr>
            </w:r>
            <w:r>
              <w:rPr>
                <w:rFonts w:cs="Arial" w:ascii="Arial" w:hAnsi="Arial"/>
                <w:sz w:val="16"/>
                <w:szCs w:val="16"/>
              </w:rPr>
              <w:t xml:space="preserve"> </w:t>
            </w:r>
            <w:r>
              <w:rPr>
                <w:rFonts w:cs="Arial" w:ascii="Arial" w:hAnsi="Arial"/>
                <w:b/>
                <w:bCs/>
                <w:color w:val="auto"/>
                <w:sz w:val="16"/>
                <w:szCs w:val="16"/>
              </w:rPr>
              <w:t xml:space="preserve">(*) </w:t>
            </w:r>
            <w:r>
              <w:rPr>
                <w:rFonts w:cs="Arial" w:ascii="Arial" w:hAnsi="Arial"/>
                <w:sz w:val="16"/>
                <w:szCs w:val="16"/>
              </w:rPr>
              <w:t>(</w:t>
            </w:r>
            <w:r>
              <w:rPr>
                <w:rFonts w:cs="Arial" w:ascii="Arial" w:hAnsi="Arial"/>
                <w:i/>
                <w:iCs/>
                <w:sz w:val="12"/>
                <w:szCs w:val="12"/>
              </w:rPr>
              <w:t>In caso di esercizi di vicinato</w:t>
            </w:r>
            <w:r>
              <w:rPr>
                <w:rFonts w:cs="Arial" w:ascii="Arial" w:hAnsi="Arial"/>
                <w:sz w:val="16"/>
                <w:szCs w:val="16"/>
              </w:rPr>
              <w:t>)</w:t>
            </w:r>
            <w:r>
              <w:rPr>
                <w:rFonts w:ascii="Arial" w:hAnsi="Arial"/>
                <w:sz w:val="16"/>
                <w:szCs w:val="16"/>
              </w:rPr>
              <w:t xml:space="preserve"> </w:t>
            </w:r>
            <w:r>
              <w:rPr>
                <w:rFonts w:cs="Arial" w:ascii="Arial" w:hAnsi="Arial"/>
                <w:sz w:val="16"/>
                <w:szCs w:val="16"/>
              </w:rPr>
              <w:t xml:space="preserve">estremi del titolo abilitativo edilizio  </w:t>
            </w:r>
            <w:r>
              <w:rPr>
                <w:rFonts w:cs="Arial" w:ascii="Arial" w:hAnsi="Arial"/>
                <w:sz w:val="16"/>
                <w:szCs w:val="16"/>
              </w:rPr>
            </w:r>
          </w:p>
        </w:tc>
      </w:tr>
      <w:tr>
        <w:trPr>
          <w:trHeight w:val="527" w:hRule="atLeast"/>
        </w:trPr>
        <w:tc>
          <w:tcPr>
            <w:tcW w:w="9645"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left"/>
              <w:rPr>
                <w:rFonts w:ascii="Arial" w:hAnsi="Arial"/>
                <w:sz w:val="16"/>
                <w:szCs w:val="16"/>
              </w:rPr>
            </w:pPr>
            <w:r>
              <w:rPr>
                <w:rFonts w:cs="Arial" w:ascii="Arial" w:hAnsi="Arial"/>
                <w:sz w:val="16"/>
                <w:szCs w:val="16"/>
              </w:rPr>
            </w:r>
            <w:r>
              <w:rPr>
                <w:rFonts w:cs="Arial" w:ascii="Arial" w:hAnsi="Arial"/>
                <w:sz w:val="16"/>
                <w:szCs w:val="16"/>
              </w:rPr>
              <w:t xml:space="preserve"> </w:t>
            </w:r>
            <w:r>
              <w:rPr>
                <w:rFonts w:cs="Arial" w:ascii="Arial" w:hAnsi="Arial"/>
                <w:sz w:val="16"/>
                <w:szCs w:val="16"/>
              </w:rPr>
              <w:t>(</w:t>
            </w:r>
            <w:r>
              <w:rPr>
                <w:rFonts w:cs="Arial" w:ascii="Arial" w:hAnsi="Arial"/>
                <w:i/>
                <w:iCs/>
                <w:sz w:val="12"/>
                <w:szCs w:val="12"/>
              </w:rPr>
              <w:t>In caso di esercizi di  Media struttura Maggiore e Grande struttura</w:t>
            </w:r>
            <w:r>
              <w:rPr>
                <w:rFonts w:cs="Arial" w:ascii="Arial" w:hAnsi="Arial"/>
                <w:sz w:val="16"/>
                <w:szCs w:val="16"/>
              </w:rPr>
              <w:t>)</w:t>
            </w:r>
            <w:r>
              <w:rPr>
                <w:rFonts w:ascii="Arial" w:hAnsi="Arial"/>
                <w:sz w:val="16"/>
                <w:szCs w:val="16"/>
              </w:rPr>
              <w:t xml:space="preserve">  di aver rispettato la normativa relativa alle superfici da destinare a parcheggio, a sosta e a movimentazione merci</w:t>
            </w:r>
          </w:p>
        </w:tc>
      </w:tr>
      <w:tr>
        <w:trPr>
          <w:trHeight w:val="527" w:hRule="atLeast"/>
        </w:trPr>
        <w:tc>
          <w:tcPr>
            <w:tcW w:w="9645"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left"/>
              <w:rPr>
                <w:rFonts w:ascii="Arial" w:hAnsi="Arial"/>
                <w:sz w:val="16"/>
                <w:szCs w:val="16"/>
              </w:rPr>
            </w:pPr>
            <w:r>
              <w:rPr>
                <w:rFonts w:ascii="Arial" w:hAnsi="Arial"/>
                <w:sz w:val="16"/>
                <w:szCs w:val="16"/>
              </w:rPr>
              <w:t>di impegnarsi a comunicare ogni variazione relativa a stati, fatti, condizioni e titolarità rispetto a quanto dichiarato</w:t>
            </w:r>
          </w:p>
        </w:tc>
      </w:tr>
      <w:tr>
        <w:trPr>
          <w:trHeight w:val="342" w:hRule="atLeast"/>
        </w:trPr>
        <w:tc>
          <w:tcPr>
            <w:tcW w:w="9645"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bottom"/>
          </w:tcPr>
          <w:p>
            <w:pPr>
              <w:pStyle w:val="Normal"/>
              <w:snapToGrid w:val="false"/>
              <w:spacing w:before="57" w:after="57"/>
              <w:jc w:val="both"/>
              <w:rPr>
                <w:rFonts w:ascii="Arial" w:hAnsi="Arial" w:cs="Arial"/>
                <w:b/>
                <w:b/>
                <w:color w:val="0000FF"/>
                <w:sz w:val="20"/>
                <w:szCs w:val="20"/>
              </w:rPr>
            </w:pPr>
            <w:r>
              <w:rPr>
                <w:rFonts w:cs="Arial" w:ascii="Arial" w:hAnsi="Arial"/>
                <w:b/>
                <w:bCs/>
                <w:color w:val="auto"/>
                <w:sz w:val="16"/>
                <w:szCs w:val="16"/>
              </w:rPr>
              <w:t xml:space="preserve">(*) </w:t>
            </w:r>
            <w:r>
              <w:rPr>
                <w:rFonts w:cs="Arial" w:ascii="Arial" w:hAnsi="Arial"/>
                <w:b/>
                <w:color w:val="0000FF"/>
                <w:sz w:val="20"/>
                <w:szCs w:val="20"/>
              </w:rPr>
              <w:t>Dichiarazioni specifiche in materia di “Gioco d'azzardo lecito”</w:t>
            </w:r>
          </w:p>
        </w:tc>
      </w:tr>
      <w:tr>
        <w:trPr>
          <w:trHeight w:val="527" w:hRule="atLeast"/>
        </w:trPr>
        <w:tc>
          <w:tcPr>
            <w:tcW w:w="9645"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rFonts w:ascii="Arial" w:hAnsi="Arial" w:cs="Arial"/>
                <w:sz w:val="16"/>
                <w:szCs w:val="16"/>
              </w:rPr>
            </w:pPr>
            <w:r>
              <w:rPr>
                <w:rFonts w:cs="Arial" w:ascii="Arial" w:hAnsi="Arial"/>
                <w:sz w:val="16"/>
                <w:szCs w:val="16"/>
              </w:rPr>
              <w:t xml:space="preserve">di essere a conoscenza che l'articolo 2, comma 1, lettera a dell'allegato A alla DGR 5/12/2014, n. 2332, così come modificato dal Decreto n. 30/DICE emanato dal Direttore centrale della Salute in data 16 gennaio 2015, definisce "apparecchi per il gioco di azzardo lecito: gli apparecchi di cui all’articolo </w:t>
            </w:r>
            <w:r>
              <w:rPr>
                <w:rFonts w:cs="Arial" w:ascii="Arial" w:hAnsi="Arial"/>
                <w:b/>
                <w:bCs/>
                <w:sz w:val="16"/>
                <w:szCs w:val="16"/>
              </w:rPr>
              <w:t xml:space="preserve">110 commi 6 </w:t>
            </w:r>
            <w:r>
              <w:rPr>
                <w:rFonts w:cs="Arial" w:ascii="Arial" w:hAnsi="Arial"/>
                <w:sz w:val="16"/>
                <w:szCs w:val="16"/>
              </w:rPr>
              <w:t>del regio decreto 18/06/1931 n. 773 (Approvazione del testo unico delle leggi di pubblica sicurezza)";</w:t>
            </w:r>
          </w:p>
          <w:p>
            <w:pPr>
              <w:pStyle w:val="Normal"/>
              <w:snapToGrid w:val="false"/>
              <w:spacing w:before="57" w:after="57"/>
              <w:jc w:val="both"/>
              <w:rPr>
                <w:rFonts w:ascii="Arial" w:hAnsi="Arial" w:cs="Arial"/>
                <w:sz w:val="16"/>
                <w:szCs w:val="16"/>
              </w:rPr>
            </w:pPr>
            <w:r>
              <w:rPr>
                <w:rFonts w:cs="Arial" w:ascii="Arial" w:hAnsi="Arial"/>
                <w:sz w:val="16"/>
                <w:szCs w:val="16"/>
              </w:rPr>
              <w:t xml:space="preserve">di essere a conoscenza che ai sensi dell'articolo 3, comma 1, dell'allegato A alla DGR 5/12/2014, n. 2332, </w:t>
            </w:r>
            <w:r>
              <w:rPr>
                <w:rFonts w:cs="Arial" w:ascii="Arial" w:hAnsi="Arial"/>
                <w:b/>
                <w:bCs/>
                <w:sz w:val="16"/>
                <w:szCs w:val="16"/>
              </w:rPr>
              <w:t>a decorrere dal 8 gennaio 2015,</w:t>
            </w:r>
            <w:r>
              <w:rPr>
                <w:rFonts w:cs="Arial" w:ascii="Arial" w:hAnsi="Arial"/>
                <w:sz w:val="16"/>
                <w:szCs w:val="16"/>
              </w:rPr>
              <w:t xml:space="preserve"> non è ammessa la nuova collocazione di apparecchi per il "gioco di azzardo lecito", né l'aggiunta di altri apparecchi oltre a quelli già collocati precedente alla succitata delibera, in locali che si trovino entro la distanza di cinquecento metri (500 mt) dai seguenti luoghi sensibili di cui all’articolo 2, lettera b, dell'allegato A alla DGR 5/12/2014, n. 2332:</w:t>
            </w:r>
          </w:p>
          <w:p>
            <w:pPr>
              <w:pStyle w:val="Normal"/>
              <w:snapToGrid w:val="false"/>
              <w:spacing w:before="0" w:after="0"/>
              <w:ind w:left="550" w:right="110" w:hanging="0"/>
              <w:jc w:val="both"/>
              <w:rPr>
                <w:rFonts w:ascii="Arial" w:hAnsi="Arial" w:cs="Arial"/>
                <w:sz w:val="16"/>
                <w:szCs w:val="16"/>
              </w:rPr>
            </w:pPr>
            <w:r>
              <w:rPr>
                <w:rFonts w:cs="Arial" w:ascii="Arial" w:hAnsi="Arial"/>
                <w:sz w:val="16"/>
                <w:szCs w:val="16"/>
              </w:rPr>
              <w:t>1) istituti scolastici di ogni ordine e grado;</w:t>
            </w:r>
          </w:p>
          <w:p>
            <w:pPr>
              <w:pStyle w:val="Normal"/>
              <w:snapToGrid w:val="false"/>
              <w:spacing w:before="0" w:after="0"/>
              <w:ind w:left="550" w:right="110" w:hanging="0"/>
              <w:jc w:val="both"/>
              <w:rPr>
                <w:rFonts w:ascii="Arial" w:hAnsi="Arial" w:cs="Arial"/>
                <w:sz w:val="16"/>
                <w:szCs w:val="16"/>
              </w:rPr>
            </w:pPr>
            <w:r>
              <w:rPr>
                <w:rFonts w:cs="Arial" w:ascii="Arial" w:hAnsi="Arial"/>
                <w:sz w:val="16"/>
                <w:szCs w:val="16"/>
              </w:rPr>
              <w:t>2) luoghi di culto, relativi alle confessioni religiose;</w:t>
            </w:r>
          </w:p>
          <w:p>
            <w:pPr>
              <w:pStyle w:val="Normal"/>
              <w:snapToGrid w:val="false"/>
              <w:spacing w:before="0" w:after="0"/>
              <w:ind w:left="550" w:right="110" w:hanging="0"/>
              <w:jc w:val="both"/>
              <w:rPr>
                <w:rFonts w:ascii="Arial" w:hAnsi="Arial" w:cs="Arial"/>
                <w:sz w:val="16"/>
                <w:szCs w:val="16"/>
              </w:rPr>
            </w:pPr>
            <w:r>
              <w:rPr>
                <w:rFonts w:cs="Arial" w:ascii="Arial" w:hAnsi="Arial"/>
                <w:sz w:val="16"/>
                <w:szCs w:val="16"/>
              </w:rPr>
              <w:t>3) impianti sportivi;</w:t>
            </w:r>
          </w:p>
          <w:p>
            <w:pPr>
              <w:pStyle w:val="Normal"/>
              <w:snapToGrid w:val="false"/>
              <w:spacing w:before="0" w:after="0"/>
              <w:ind w:left="550" w:right="110" w:hanging="0"/>
              <w:jc w:val="both"/>
              <w:rPr>
                <w:rFonts w:ascii="Arial" w:hAnsi="Arial" w:cs="Arial"/>
                <w:sz w:val="16"/>
                <w:szCs w:val="16"/>
              </w:rPr>
            </w:pPr>
            <w:r>
              <w:rPr>
                <w:rFonts w:cs="Arial" w:ascii="Arial" w:hAnsi="Arial"/>
                <w:sz w:val="16"/>
                <w:szCs w:val="16"/>
              </w:rPr>
              <w:t>4) strutture residenziali o semiresidenziali operanti in ambito sanitario o sociosanitario;</w:t>
            </w:r>
          </w:p>
          <w:p>
            <w:pPr>
              <w:pStyle w:val="Normal"/>
              <w:snapToGrid w:val="false"/>
              <w:spacing w:before="0" w:after="0"/>
              <w:ind w:left="550" w:right="110" w:hanging="0"/>
              <w:jc w:val="both"/>
              <w:rPr>
                <w:rFonts w:ascii="Arial" w:hAnsi="Arial" w:cs="Arial"/>
                <w:sz w:val="16"/>
                <w:szCs w:val="16"/>
              </w:rPr>
            </w:pPr>
            <w:r>
              <w:rPr>
                <w:rFonts w:cs="Arial" w:ascii="Arial" w:hAnsi="Arial"/>
                <w:sz w:val="16"/>
                <w:szCs w:val="16"/>
              </w:rPr>
              <w:t>5) strutture ricettive per categorie protette;</w:t>
            </w:r>
          </w:p>
          <w:p>
            <w:pPr>
              <w:pStyle w:val="Normal"/>
              <w:snapToGrid w:val="false"/>
              <w:spacing w:before="0" w:after="0"/>
              <w:ind w:left="550" w:right="110" w:hanging="0"/>
              <w:jc w:val="both"/>
              <w:rPr>
                <w:rFonts w:ascii="Arial" w:hAnsi="Arial" w:cs="Arial"/>
                <w:sz w:val="16"/>
                <w:szCs w:val="16"/>
              </w:rPr>
            </w:pPr>
            <w:r>
              <w:rPr>
                <w:rFonts w:cs="Arial" w:ascii="Arial" w:hAnsi="Arial"/>
                <w:sz w:val="16"/>
                <w:szCs w:val="16"/>
              </w:rPr>
              <w:t>6) luoghi di aggregazione (compresi ludoteche, ricreatori, oratori e biblioteche);</w:t>
            </w:r>
          </w:p>
          <w:p>
            <w:pPr>
              <w:pStyle w:val="Normal"/>
              <w:snapToGrid w:val="false"/>
              <w:spacing w:before="57" w:after="57"/>
              <w:jc w:val="both"/>
              <w:rPr>
                <w:rFonts w:ascii="Arial" w:hAnsi="Arial" w:cs="Arial"/>
                <w:sz w:val="16"/>
                <w:szCs w:val="16"/>
              </w:rPr>
            </w:pPr>
            <w:r>
              <w:rPr>
                <w:rFonts w:cs="Arial" w:ascii="Arial" w:hAnsi="Arial"/>
                <w:sz w:val="16"/>
                <w:szCs w:val="16"/>
              </w:rPr>
              <w:t xml:space="preserve">di essere a conoscenza che la </w:t>
            </w:r>
            <w:r>
              <w:rPr>
                <w:rFonts w:cs="Arial" w:ascii="Arial" w:hAnsi="Arial"/>
                <w:b/>
                <w:bCs/>
                <w:sz w:val="16"/>
                <w:szCs w:val="16"/>
              </w:rPr>
              <w:t>distanza</w:t>
            </w:r>
            <w:r>
              <w:rPr>
                <w:rFonts w:cs="Arial" w:ascii="Arial" w:hAnsi="Arial"/>
                <w:sz w:val="16"/>
                <w:szCs w:val="16"/>
              </w:rPr>
              <w:t xml:space="preserve"> di cui sopra deve venir misurata partendo dal centro in basso della porta di ingresso al locale e seguendo il percorso pedonale più breve, nel rispetto del Codice della Strada, fino al centro in basso della porta di ingresso del luogo sensibile individuato</w:t>
            </w:r>
          </w:p>
        </w:tc>
      </w:tr>
      <w:tr>
        <w:trPr>
          <w:trHeight w:val="314" w:hRule="atLeast"/>
        </w:trPr>
        <w:tc>
          <w:tcPr>
            <w:tcW w:w="9645"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center"/>
              <w:rPr>
                <w:rFonts w:ascii="Arial" w:hAnsi="Arial" w:cs="Arial"/>
                <w:b/>
                <w:b/>
                <w:color w:val="0000FF"/>
                <w:sz w:val="20"/>
                <w:szCs w:val="20"/>
              </w:rPr>
            </w:pPr>
            <w:r>
              <w:rPr>
                <w:rFonts w:cs="Arial" w:ascii="Arial" w:hAnsi="Arial"/>
                <w:b/>
                <w:color w:val="0000FF"/>
                <w:sz w:val="20"/>
                <w:szCs w:val="20"/>
              </w:rPr>
              <w:t>Selezionare un'opzione</w:t>
            </w:r>
          </w:p>
        </w:tc>
      </w:tr>
      <w:tr>
        <w:trPr>
          <w:trHeight w:val="527" w:hRule="atLeast"/>
        </w:trPr>
        <w:tc>
          <w:tcPr>
            <w:tcW w:w="9645"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rFonts w:ascii="Arial" w:hAnsi="Arial" w:cs="Arial"/>
                <w:b w:val="false"/>
                <w:b w:val="false"/>
                <w:bCs w:val="false"/>
                <w:sz w:val="16"/>
                <w:szCs w:val="16"/>
              </w:rPr>
            </w:pPr>
            <w:r>
              <w:rPr>
                <w:rFonts w:cs="Arial" w:ascii="Arial" w:hAnsi="Arial"/>
                <w:b w:val="false"/>
                <w:bCs w:val="false"/>
                <w:sz w:val="16"/>
                <w:szCs w:val="16"/>
              </w:rPr>
            </w:r>
            <w:r>
              <w:rPr>
                <w:rFonts w:cs="Arial" w:ascii="Arial" w:hAnsi="Arial"/>
                <w:b w:val="false"/>
                <w:bCs w:val="false"/>
                <w:sz w:val="16"/>
                <w:szCs w:val="16"/>
              </w:rPr>
              <w:t xml:space="preserve"> </w:t>
            </w:r>
            <w:r>
              <w:rPr>
                <w:rFonts w:cs="Arial" w:ascii="Arial" w:hAnsi="Arial"/>
                <w:b w:val="false"/>
                <w:bCs w:val="false"/>
                <w:sz w:val="16"/>
                <w:szCs w:val="16"/>
              </w:rPr>
              <w:t>di non detenere alcun apparecchio per il "gioco di azzardo lecito"</w:t>
            </w:r>
          </w:p>
        </w:tc>
      </w:tr>
      <w:tr>
        <w:trPr>
          <w:trHeight w:val="527" w:hRule="atLeast"/>
        </w:trPr>
        <w:tc>
          <w:tcPr>
            <w:tcW w:w="9645"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rFonts w:ascii="Arial" w:hAnsi="Arial" w:cs="Arial"/>
                <w:b w:val="false"/>
                <w:b w:val="false"/>
                <w:bCs w:val="false"/>
                <w:sz w:val="16"/>
                <w:szCs w:val="16"/>
              </w:rPr>
            </w:pPr>
            <w:r>
              <w:rPr>
                <w:rFonts w:cs="Arial" w:ascii="Arial" w:hAnsi="Arial"/>
                <w:b w:val="false"/>
                <w:bCs w:val="false"/>
                <w:sz w:val="16"/>
                <w:szCs w:val="16"/>
              </w:rPr>
            </w:r>
            <w:r>
              <w:rPr>
                <w:rFonts w:cs="Arial" w:ascii="Arial" w:hAnsi="Arial"/>
                <w:b w:val="false"/>
                <w:bCs w:val="false"/>
                <w:sz w:val="16"/>
                <w:szCs w:val="16"/>
              </w:rPr>
              <w:t xml:space="preserve"> </w:t>
            </w:r>
            <w:r>
              <w:rPr>
                <w:rFonts w:cs="Arial" w:ascii="Arial" w:hAnsi="Arial"/>
                <w:b w:val="false"/>
                <w:bCs w:val="false"/>
                <w:sz w:val="16"/>
                <w:szCs w:val="16"/>
              </w:rPr>
              <w:t xml:space="preserve">di detenere n. </w:t>
            </w:r>
            <w:r>
              <w:rPr>
                <w:rFonts w:cs="Arial" w:ascii="Arial" w:hAnsi="Arial"/>
                <w:b w:val="false"/>
                <w:bCs w:val="false"/>
                <w:sz w:val="16"/>
                <w:szCs w:val="16"/>
              </w:rPr>
            </w:r>
            <w:r>
              <w:rPr>
                <w:rFonts w:cs="Arial" w:ascii="Arial" w:hAnsi="Arial"/>
                <w:b w:val="false"/>
                <w:bCs w:val="false"/>
                <w:sz w:val="16"/>
                <w:szCs w:val="16"/>
              </w:rPr>
              <w:t xml:space="preserve"> apparecchi per il "gioco di azzardo lecito" già collocati alla data del 7 gennaio 2015 e collegati alla rete telematica SOGEI alla medesima data</w:t>
            </w:r>
          </w:p>
          <w:p>
            <w:pPr>
              <w:pStyle w:val="Normal"/>
              <w:snapToGrid w:val="false"/>
              <w:spacing w:before="57" w:after="57"/>
              <w:jc w:val="left"/>
              <w:rPr>
                <w:rFonts w:ascii="Arial" w:hAnsi="Arial" w:cs="Arial"/>
                <w:b w:val="false"/>
                <w:b w:val="false"/>
                <w:bCs w:val="false"/>
                <w:sz w:val="16"/>
                <w:szCs w:val="16"/>
              </w:rPr>
            </w:pPr>
            <w:r>
              <w:rPr>
                <w:rFonts w:cs="Arial" w:ascii="Arial" w:hAnsi="Arial"/>
                <w:b w:val="false"/>
                <w:bCs w:val="false"/>
                <w:sz w:val="16"/>
                <w:szCs w:val="16"/>
              </w:rPr>
            </w:r>
            <w:r>
              <w:rPr>
                <w:rFonts w:cs="Arial" w:ascii="Arial" w:hAnsi="Arial"/>
                <w:b w:val="false"/>
                <w:bCs w:val="false"/>
                <w:sz w:val="16"/>
                <w:szCs w:val="16"/>
              </w:rPr>
              <w:t xml:space="preserve"> </w:t>
            </w:r>
            <w:r>
              <w:rPr>
                <w:rFonts w:cs="Arial" w:ascii="Arial" w:hAnsi="Arial"/>
                <w:b w:val="false"/>
                <w:bCs w:val="false"/>
                <w:sz w:val="16"/>
                <w:szCs w:val="16"/>
              </w:rPr>
              <w:t xml:space="preserve">di detenere n. </w:t>
            </w:r>
            <w:r>
              <w:rPr>
                <w:rFonts w:cs="Arial" w:ascii="Arial" w:hAnsi="Arial"/>
                <w:b w:val="false"/>
                <w:bCs w:val="false"/>
                <w:sz w:val="16"/>
                <w:szCs w:val="16"/>
              </w:rPr>
            </w:r>
            <w:r>
              <w:rPr>
                <w:rFonts w:cs="Arial" w:ascii="Arial" w:hAnsi="Arial"/>
                <w:b w:val="false"/>
                <w:bCs w:val="false"/>
                <w:sz w:val="16"/>
                <w:szCs w:val="16"/>
              </w:rPr>
              <w:t xml:space="preserve"> apparecchi per il "gioco di azzardo lecito" già collocati alla data del 7 gennaio 2015, ma </w:t>
            </w:r>
            <w:r>
              <w:rPr>
                <w:rFonts w:cs="Arial" w:ascii="Arial" w:hAnsi="Arial"/>
                <w:b/>
                <w:bCs/>
                <w:sz w:val="16"/>
                <w:szCs w:val="16"/>
              </w:rPr>
              <w:t>non collegati</w:t>
            </w:r>
            <w:r>
              <w:rPr>
                <w:rFonts w:cs="Arial" w:ascii="Arial" w:hAnsi="Arial"/>
                <w:b w:val="false"/>
                <w:bCs w:val="false"/>
                <w:sz w:val="16"/>
                <w:szCs w:val="16"/>
              </w:rPr>
              <w:t xml:space="preserve"> alla rete telematica SOGEI alla medesima data, </w:t>
            </w:r>
            <w:r>
              <w:rPr>
                <w:rFonts w:cs="Arial" w:ascii="Arial" w:hAnsi="Arial"/>
                <w:b/>
                <w:bCs/>
                <w:sz w:val="16"/>
                <w:szCs w:val="16"/>
              </w:rPr>
              <w:t>per il seguente motivo</w:t>
            </w:r>
            <w:r>
              <w:rPr>
                <w:rFonts w:cs="Arial" w:ascii="Arial" w:hAnsi="Arial"/>
                <w:b w:val="false"/>
                <w:bCs w:val="false"/>
                <w:sz w:val="16"/>
                <w:szCs w:val="16"/>
              </w:rPr>
              <w:t xml:space="preserve">: </w:t>
            </w:r>
            <w:r>
              <w:rPr>
                <w:rFonts w:cs="Arial" w:ascii="Arial" w:hAnsi="Arial"/>
                <w:b w:val="false"/>
                <w:bCs w:val="false"/>
                <w:sz w:val="16"/>
                <w:szCs w:val="16"/>
              </w:rPr>
            </w:r>
          </w:p>
        </w:tc>
      </w:tr>
      <w:tr>
        <w:trPr>
          <w:trHeight w:val="527" w:hRule="atLeast"/>
        </w:trPr>
        <w:tc>
          <w:tcPr>
            <w:tcW w:w="9645"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rFonts w:ascii="Arial" w:hAnsi="Arial" w:cs="Arial"/>
                <w:b w:val="false"/>
                <w:b w:val="false"/>
                <w:bCs w:val="false"/>
                <w:sz w:val="16"/>
                <w:szCs w:val="16"/>
              </w:rPr>
            </w:pPr>
            <w:r>
              <w:rPr>
                <w:rFonts w:cs="Arial" w:ascii="Arial" w:hAnsi="Arial"/>
                <w:b w:val="false"/>
                <w:bCs w:val="false"/>
                <w:sz w:val="16"/>
                <w:szCs w:val="16"/>
              </w:rPr>
            </w:r>
            <w:r>
              <w:rPr>
                <w:rFonts w:cs="Arial" w:ascii="Arial" w:hAnsi="Arial"/>
                <w:b w:val="false"/>
                <w:bCs w:val="false"/>
                <w:sz w:val="16"/>
                <w:szCs w:val="16"/>
              </w:rPr>
              <w:t xml:space="preserve"> </w:t>
            </w:r>
            <w:r>
              <w:rPr>
                <w:rFonts w:cs="Arial" w:ascii="Arial" w:hAnsi="Arial"/>
                <w:b w:val="false"/>
                <w:bCs w:val="false"/>
                <w:sz w:val="16"/>
                <w:szCs w:val="16"/>
              </w:rPr>
              <w:t xml:space="preserve">di detenere n. </w:t>
            </w:r>
            <w:r>
              <w:rPr>
                <w:rFonts w:cs="Arial" w:ascii="Arial" w:hAnsi="Arial"/>
                <w:b w:val="false"/>
                <w:bCs w:val="false"/>
                <w:sz w:val="16"/>
                <w:szCs w:val="16"/>
              </w:rPr>
            </w:r>
            <w:r>
              <w:rPr>
                <w:rFonts w:cs="Arial" w:ascii="Arial" w:hAnsi="Arial"/>
                <w:b w:val="false"/>
                <w:bCs w:val="false"/>
                <w:sz w:val="16"/>
                <w:szCs w:val="16"/>
              </w:rPr>
              <w:t xml:space="preserve"> apparecchi per il "gioco di azzardo lecito" collocati successivamente alla data del 7 gennaio 2015, in conformità a quanto previsto dall'articolo 3 dell'allegato A alla DGR 5/12/2014, n. 2332, ovvero a una distanza superiore a 500 metri dai luoghi sensibili definiti all'art. 2, lettera b, misurata con i criteri dell'art. 3, comma 2, dell'allegato A del DGR 5/12/2014 n. 2332</w:t>
            </w:r>
          </w:p>
        </w:tc>
      </w:tr>
      <w:tr>
        <w:trPr>
          <w:trHeight w:val="527" w:hRule="atLeast"/>
        </w:trPr>
        <w:tc>
          <w:tcPr>
            <w:tcW w:w="964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rFonts w:ascii="Arial" w:hAnsi="Arial" w:cs="Arial"/>
                <w:b w:val="false"/>
                <w:b w:val="false"/>
                <w:bCs w:val="false"/>
                <w:sz w:val="16"/>
                <w:szCs w:val="16"/>
              </w:rPr>
            </w:pPr>
            <w:r>
              <w:rPr>
                <w:rFonts w:cs="Arial" w:ascii="Arial" w:hAnsi="Arial"/>
                <w:b w:val="false"/>
                <w:bCs w:val="false"/>
                <w:sz w:val="16"/>
                <w:szCs w:val="16"/>
              </w:rPr>
            </w:r>
            <w:r>
              <w:rPr>
                <w:rFonts w:cs="Arial" w:ascii="Arial" w:hAnsi="Arial"/>
                <w:b w:val="false"/>
                <w:bCs w:val="false"/>
                <w:sz w:val="16"/>
                <w:szCs w:val="16"/>
              </w:rPr>
              <w:t xml:space="preserve"> </w:t>
            </w:r>
            <w:r>
              <w:rPr>
                <w:rFonts w:cs="Arial" w:ascii="Arial" w:hAnsi="Arial"/>
                <w:b w:val="false"/>
                <w:bCs w:val="false"/>
                <w:sz w:val="16"/>
                <w:szCs w:val="16"/>
              </w:rPr>
              <w:t>di collocare n.</w:t>
            </w:r>
            <w:r>
              <w:rPr>
                <w:rFonts w:cs="Arial" w:ascii="Arial" w:hAnsi="Arial"/>
                <w:b w:val="false"/>
                <w:bCs w:val="false"/>
                <w:sz w:val="16"/>
                <w:szCs w:val="16"/>
              </w:rPr>
            </w:r>
            <w:r>
              <w:rPr>
                <w:rFonts w:cs="Arial" w:ascii="Arial" w:hAnsi="Arial"/>
                <w:b w:val="false"/>
                <w:bCs w:val="false"/>
                <w:sz w:val="16"/>
                <w:szCs w:val="16"/>
              </w:rPr>
              <w:t xml:space="preserve"> nuovi apparecchi per il "gioco di azzardo lecito" in conformità a quanto previsto dall'articolo 3 dell'allegato A alla DGR 5/12/2014, n. 2332, ovvero a una distanza superiore a 500 metri dai luoghi sensibili definiti all'art. 2, lettera b, misurata con i criteri dell'art. 3, comma 2, dell'allegato A del DGR 5/12/2014 n. 2332</w:t>
            </w:r>
          </w:p>
        </w:tc>
      </w:tr>
      <w:tr>
        <w:trPr>
          <w:trHeight w:val="527" w:hRule="atLeast"/>
        </w:trPr>
        <w:tc>
          <w:tcPr>
            <w:tcW w:w="9645"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both"/>
              <w:rPr>
                <w:rFonts w:ascii="Arial" w:hAnsi="Arial" w:cs="Arial"/>
                <w:b w:val="false"/>
                <w:b w:val="false"/>
                <w:bCs w:val="false"/>
                <w:sz w:val="16"/>
                <w:szCs w:val="16"/>
              </w:rPr>
            </w:pPr>
            <w:r>
              <w:rPr>
                <w:rFonts w:cs="Arial" w:ascii="Arial" w:hAnsi="Arial"/>
                <w:b w:val="false"/>
                <w:bCs w:val="false"/>
                <w:sz w:val="16"/>
                <w:szCs w:val="16"/>
              </w:rPr>
            </w:r>
            <w:r>
              <w:rPr>
                <w:rFonts w:cs="Arial" w:ascii="Arial" w:hAnsi="Arial"/>
                <w:b w:val="false"/>
                <w:bCs w:val="false"/>
                <w:sz w:val="16"/>
                <w:szCs w:val="16"/>
              </w:rPr>
              <w:t xml:space="preserve"> </w:t>
            </w:r>
            <w:r>
              <w:rPr>
                <w:rFonts w:cs="Arial" w:ascii="Arial" w:hAnsi="Arial"/>
                <w:b w:val="false"/>
                <w:bCs w:val="false"/>
                <w:sz w:val="16"/>
                <w:szCs w:val="16"/>
              </w:rPr>
              <w:t xml:space="preserve">di sostituire n. </w:t>
            </w:r>
            <w:r>
              <w:rPr>
                <w:rFonts w:cs="Arial" w:ascii="Arial" w:hAnsi="Arial"/>
                <w:b w:val="false"/>
                <w:bCs w:val="false"/>
                <w:sz w:val="16"/>
                <w:szCs w:val="16"/>
              </w:rPr>
            </w:r>
            <w:r>
              <w:rPr>
                <w:rFonts w:cs="Arial" w:ascii="Arial" w:hAnsi="Arial"/>
                <w:b w:val="false"/>
                <w:bCs w:val="false"/>
                <w:sz w:val="16"/>
                <w:szCs w:val="16"/>
              </w:rPr>
              <w:t xml:space="preserve"> apparecchi per il "gioco di azzardo lecito" già collocati alla data del 7 gennaio 2015 e collegati alla rete telematica SOGEI:</w:t>
            </w:r>
          </w:p>
          <w:p>
            <w:pPr>
              <w:pStyle w:val="Normal"/>
              <w:snapToGrid w:val="false"/>
              <w:spacing w:before="57" w:after="57"/>
              <w:ind w:left="567" w:right="108" w:hanging="0"/>
              <w:jc w:val="both"/>
              <w:rPr>
                <w:rFonts w:ascii="Arial" w:hAnsi="Arial" w:cs="Arial"/>
                <w:b w:val="false"/>
                <w:b w:val="false"/>
                <w:bCs w:val="false"/>
                <w:sz w:val="16"/>
                <w:szCs w:val="16"/>
              </w:rPr>
            </w:pPr>
            <w:r>
              <w:rPr>
                <w:rFonts w:cs="Arial" w:ascii="Arial" w:hAnsi="Arial"/>
                <w:b w:val="false"/>
                <w:bCs w:val="false"/>
                <w:sz w:val="16"/>
                <w:szCs w:val="16"/>
              </w:rPr>
              <w:t xml:space="preserve">di cui </w:t>
            </w:r>
            <w:r>
              <w:rPr>
                <w:rFonts w:cs="Arial" w:ascii="Arial" w:hAnsi="Arial"/>
                <w:b w:val="false"/>
                <w:bCs w:val="false"/>
                <w:sz w:val="16"/>
                <w:szCs w:val="16"/>
              </w:rPr>
            </w:r>
            <w:r>
              <w:rPr>
                <w:rFonts w:cs="Arial" w:ascii="Arial" w:hAnsi="Arial"/>
                <w:b w:val="false"/>
                <w:bCs w:val="false"/>
                <w:sz w:val="16"/>
                <w:szCs w:val="16"/>
              </w:rPr>
              <w:t xml:space="preserve"> per ragioni tecniche o di vetustà</w:t>
            </w:r>
          </w:p>
          <w:p>
            <w:pPr>
              <w:pStyle w:val="Normal"/>
              <w:snapToGrid w:val="false"/>
              <w:spacing w:before="57" w:after="57"/>
              <w:ind w:left="567" w:right="108" w:hanging="0"/>
              <w:jc w:val="both"/>
              <w:rPr>
                <w:rFonts w:ascii="Arial" w:hAnsi="Arial" w:cs="Arial"/>
                <w:b w:val="false"/>
                <w:b w:val="false"/>
                <w:bCs w:val="false"/>
                <w:sz w:val="16"/>
                <w:szCs w:val="16"/>
              </w:rPr>
            </w:pPr>
            <w:r>
              <w:rPr>
                <w:rFonts w:cs="Arial" w:ascii="Arial" w:hAnsi="Arial"/>
                <w:b w:val="false"/>
                <w:bCs w:val="false"/>
                <w:sz w:val="16"/>
                <w:szCs w:val="16"/>
              </w:rPr>
              <w:t xml:space="preserve">di cui </w:t>
            </w:r>
            <w:r>
              <w:rPr>
                <w:rFonts w:cs="Arial" w:ascii="Arial" w:hAnsi="Arial"/>
                <w:b w:val="false"/>
                <w:bCs w:val="false"/>
                <w:sz w:val="16"/>
                <w:szCs w:val="16"/>
              </w:rPr>
            </w:r>
            <w:r>
              <w:rPr>
                <w:rFonts w:cs="Arial" w:ascii="Arial" w:hAnsi="Arial"/>
                <w:b w:val="false"/>
                <w:bCs w:val="false"/>
                <w:sz w:val="16"/>
                <w:szCs w:val="16"/>
              </w:rPr>
              <w:t xml:space="preserve"> per modifiche imposte da leggi e regolamenti</w:t>
            </w:r>
          </w:p>
        </w:tc>
      </w:tr>
      <w:tr>
        <w:trPr>
          <w:trHeight w:val="527" w:hRule="atLeast"/>
        </w:trPr>
        <w:tc>
          <w:tcPr>
            <w:tcW w:w="9645"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jc w:val="left"/>
              <w:rPr>
                <w:rFonts w:ascii="Arial" w:hAnsi="Arial" w:cs="Arial"/>
                <w:b w:val="false"/>
                <w:b w:val="false"/>
                <w:bCs w:val="false"/>
                <w:sz w:val="16"/>
                <w:szCs w:val="16"/>
              </w:rPr>
            </w:pPr>
            <w:r>
              <w:rPr>
                <w:rFonts w:cs="Arial" w:ascii="Arial" w:hAnsi="Arial"/>
                <w:b w:val="false"/>
                <w:bCs w:val="false"/>
                <w:sz w:val="16"/>
                <w:szCs w:val="16"/>
              </w:rPr>
            </w:r>
            <w:r>
              <w:rPr>
                <w:rFonts w:cs="Arial" w:ascii="Arial" w:hAnsi="Arial"/>
                <w:b w:val="false"/>
                <w:bCs w:val="false"/>
                <w:sz w:val="16"/>
                <w:szCs w:val="16"/>
              </w:rPr>
              <w:t xml:space="preserve"> </w:t>
            </w:r>
            <w:r>
              <w:rPr>
                <w:rFonts w:cs="Arial" w:ascii="Arial" w:hAnsi="Arial"/>
                <w:b w:val="false"/>
                <w:bCs w:val="false"/>
                <w:sz w:val="16"/>
                <w:szCs w:val="16"/>
              </w:rPr>
              <w:t xml:space="preserve">di sostituire n. </w:t>
            </w:r>
            <w:r>
              <w:rPr>
                <w:rFonts w:cs="Arial" w:ascii="Arial" w:hAnsi="Arial"/>
                <w:b w:val="false"/>
                <w:bCs w:val="false"/>
                <w:sz w:val="16"/>
                <w:szCs w:val="16"/>
              </w:rPr>
            </w:r>
            <w:r>
              <w:rPr>
                <w:rFonts w:cs="Arial" w:ascii="Arial" w:hAnsi="Arial"/>
                <w:b w:val="false"/>
                <w:bCs w:val="false"/>
                <w:sz w:val="16"/>
                <w:szCs w:val="16"/>
              </w:rPr>
              <w:t xml:space="preserve"> apparecchi per il "gioco di azzardo lecito" già collocati alla data del 7 gennaio 2015, ma </w:t>
            </w:r>
            <w:r>
              <w:rPr>
                <w:rFonts w:cs="Arial" w:ascii="Arial" w:hAnsi="Arial"/>
                <w:b/>
                <w:bCs/>
                <w:sz w:val="16"/>
                <w:szCs w:val="16"/>
              </w:rPr>
              <w:t>non collegati</w:t>
            </w:r>
            <w:r>
              <w:rPr>
                <w:rFonts w:cs="Arial" w:ascii="Arial" w:hAnsi="Arial"/>
                <w:b w:val="false"/>
                <w:bCs w:val="false"/>
                <w:sz w:val="16"/>
                <w:szCs w:val="16"/>
              </w:rPr>
              <w:t xml:space="preserve"> alla rete telematica SOGEI </w:t>
            </w:r>
            <w:r>
              <w:rPr>
                <w:rFonts w:cs="Arial" w:ascii="Arial" w:hAnsi="Arial"/>
                <w:b/>
                <w:bCs/>
                <w:sz w:val="16"/>
                <w:szCs w:val="16"/>
              </w:rPr>
              <w:t>per il</w:t>
            </w:r>
            <w:r>
              <w:rPr>
                <w:rFonts w:cs="Arial" w:ascii="Arial" w:hAnsi="Arial"/>
                <w:b w:val="false"/>
                <w:bCs w:val="false"/>
                <w:sz w:val="16"/>
                <w:szCs w:val="16"/>
              </w:rPr>
              <w:t xml:space="preserve"> </w:t>
            </w:r>
            <w:r>
              <w:rPr>
                <w:rFonts w:cs="Arial" w:ascii="Arial" w:hAnsi="Arial"/>
                <w:b/>
                <w:bCs/>
                <w:sz w:val="16"/>
                <w:szCs w:val="16"/>
              </w:rPr>
              <w:t>seguente motivo</w:t>
            </w:r>
            <w:r>
              <w:rPr>
                <w:rFonts w:cs="Arial" w:ascii="Arial" w:hAnsi="Arial"/>
                <w:b w:val="false"/>
                <w:bCs w:val="false"/>
                <w:sz w:val="16"/>
                <w:szCs w:val="16"/>
              </w:rPr>
              <w:t xml:space="preserve">: </w:t>
            </w:r>
            <w:r>
              <w:rPr>
                <w:rFonts w:cs="Arial" w:ascii="Arial" w:hAnsi="Arial"/>
                <w:b w:val="false"/>
                <w:bCs w:val="false"/>
                <w:sz w:val="16"/>
                <w:szCs w:val="16"/>
              </w:rPr>
            </w:r>
          </w:p>
          <w:p>
            <w:pPr>
              <w:pStyle w:val="Normal"/>
              <w:snapToGrid w:val="false"/>
              <w:spacing w:before="57" w:after="57"/>
              <w:ind w:left="567" w:right="0" w:hanging="0"/>
              <w:jc w:val="both"/>
              <w:rPr>
                <w:rFonts w:ascii="Arial" w:hAnsi="Arial" w:cs="Arial"/>
                <w:b w:val="false"/>
                <w:b w:val="false"/>
                <w:bCs w:val="false"/>
                <w:sz w:val="16"/>
                <w:szCs w:val="16"/>
              </w:rPr>
            </w:pPr>
            <w:r>
              <w:rPr>
                <w:rFonts w:cs="Arial" w:ascii="Arial" w:hAnsi="Arial"/>
                <w:b w:val="false"/>
                <w:bCs w:val="false"/>
                <w:sz w:val="16"/>
                <w:szCs w:val="16"/>
              </w:rPr>
              <w:t xml:space="preserve">di cui </w:t>
            </w:r>
            <w:r>
              <w:rPr>
                <w:rFonts w:cs="Arial" w:ascii="Arial" w:hAnsi="Arial"/>
                <w:b w:val="false"/>
                <w:bCs w:val="false"/>
                <w:sz w:val="16"/>
                <w:szCs w:val="16"/>
              </w:rPr>
            </w:r>
            <w:r>
              <w:rPr>
                <w:rFonts w:cs="Arial" w:ascii="Arial" w:hAnsi="Arial"/>
                <w:b w:val="false"/>
                <w:bCs w:val="false"/>
                <w:sz w:val="16"/>
                <w:szCs w:val="16"/>
              </w:rPr>
              <w:t xml:space="preserve"> per ragioni tecniche o di vetustà</w:t>
            </w:r>
          </w:p>
          <w:p>
            <w:pPr>
              <w:pStyle w:val="Normal"/>
              <w:snapToGrid w:val="false"/>
              <w:spacing w:before="57" w:after="57"/>
              <w:ind w:left="567" w:right="0" w:hanging="0"/>
              <w:jc w:val="both"/>
              <w:rPr>
                <w:rFonts w:ascii="Arial" w:hAnsi="Arial" w:cs="Arial"/>
                <w:b w:val="false"/>
                <w:b w:val="false"/>
                <w:bCs w:val="false"/>
                <w:sz w:val="16"/>
                <w:szCs w:val="16"/>
              </w:rPr>
            </w:pPr>
            <w:r>
              <w:rPr>
                <w:rFonts w:cs="Arial" w:ascii="Arial" w:hAnsi="Arial"/>
                <w:b w:val="false"/>
                <w:bCs w:val="false"/>
                <w:sz w:val="16"/>
                <w:szCs w:val="16"/>
              </w:rPr>
              <w:t xml:space="preserve">di cui </w:t>
            </w:r>
            <w:r>
              <w:rPr>
                <w:rFonts w:cs="Arial" w:ascii="Arial" w:hAnsi="Arial"/>
                <w:b w:val="false"/>
                <w:bCs w:val="false"/>
                <w:sz w:val="16"/>
                <w:szCs w:val="16"/>
              </w:rPr>
            </w:r>
            <w:r>
              <w:rPr>
                <w:rFonts w:cs="Arial" w:ascii="Arial" w:hAnsi="Arial"/>
                <w:b w:val="false"/>
                <w:bCs w:val="false"/>
                <w:sz w:val="16"/>
                <w:szCs w:val="16"/>
              </w:rPr>
              <w:t xml:space="preserve"> per modifiche imposte da leggi e regolamenti</w:t>
            </w:r>
          </w:p>
        </w:tc>
      </w:tr>
    </w:tbl>
    <w:p>
      <w:pPr>
        <w:pStyle w:val="Normal"/>
        <w:rPr>
          <w:sz w:val="16"/>
          <w:szCs w:val="16"/>
        </w:rPr>
      </w:pPr>
      <w:r>
        <w:rPr>
          <w:sz w:val="16"/>
          <w:szCs w:val="16"/>
        </w:rPr>
      </w:r>
    </w:p>
    <w:p>
      <w:pPr>
        <w:pStyle w:val="Normal"/>
        <w:rPr>
          <w:rFonts w:ascii="Arial" w:hAnsi="Arial"/>
          <w:b/>
          <w:b/>
          <w:bCs/>
          <w:sz w:val="12"/>
          <w:szCs w:val="12"/>
        </w:rPr>
      </w:pPr>
      <w:r>
        <w:rPr>
          <w:rFonts w:ascii="Arial" w:hAnsi="Arial"/>
          <w:b/>
          <w:bCs/>
          <w:sz w:val="12"/>
          <w:szCs w:val="12"/>
        </w:rPr>
      </w:r>
    </w:p>
    <w:p>
      <w:pPr>
        <w:pStyle w:val="Normal"/>
        <w:rPr>
          <w:rFonts w:ascii="Arial" w:hAnsi="Arial"/>
          <w:b/>
          <w:b/>
          <w:bCs/>
          <w:sz w:val="12"/>
          <w:szCs w:val="12"/>
        </w:rPr>
      </w:pPr>
      <w:r>
        <w:rPr>
          <w:rFonts w:ascii="Arial" w:hAnsi="Arial"/>
          <w:b/>
          <w:bCs/>
          <w:sz w:val="12"/>
          <w:szCs w:val="12"/>
        </w:rPr>
        <w:t>INFORMATIVA SULLA PRIVACY (ART. 13 del d.lgs. n. 196/2003)</w:t>
      </w:r>
    </w:p>
    <w:p>
      <w:pPr>
        <w:pStyle w:val="Normal"/>
        <w:rPr>
          <w:rFonts w:ascii="Arial" w:hAnsi="Arial"/>
          <w:sz w:val="12"/>
          <w:szCs w:val="12"/>
        </w:rPr>
      </w:pPr>
      <w:r>
        <w:rPr>
          <w:rFonts w:ascii="Arial" w:hAnsi="Arial"/>
          <w:sz w:val="12"/>
          <w:szCs w:val="12"/>
        </w:rPr>
        <w:t>Il D.Lgs. n. 196 del 30 giugno 2003 (“Codice in materia di protezione dei dati personali”) tutela le persone e gli altri soggetti rispetto al trattamento dei dati personali. Pertanto, come previsto dall’art. 13 del Codice, si forniscono le seguenti informazioni:</w:t>
      </w:r>
    </w:p>
    <w:p>
      <w:pPr>
        <w:pStyle w:val="Normal"/>
        <w:rPr>
          <w:rFonts w:ascii="Arial" w:hAnsi="Arial"/>
          <w:sz w:val="12"/>
          <w:szCs w:val="12"/>
        </w:rPr>
      </w:pPr>
      <w:r>
        <w:rPr>
          <w:rFonts w:ascii="Arial" w:hAnsi="Arial"/>
          <w:sz w:val="12"/>
          <w:szCs w:val="12"/>
        </w:rPr>
        <w:t>Finalità del trattamento. I dati personali saranno utilizzati dagli uffici nell’ambito del procedimento per il quale la dichiarazione viene resa.</w:t>
      </w:r>
    </w:p>
    <w:p>
      <w:pPr>
        <w:pStyle w:val="Normal"/>
        <w:rPr>
          <w:rFonts w:ascii="Arial" w:hAnsi="Arial"/>
          <w:sz w:val="12"/>
          <w:szCs w:val="12"/>
        </w:rPr>
      </w:pPr>
      <w:r>
        <w:rPr>
          <w:rFonts w:ascii="Arial" w:hAnsi="Arial"/>
          <w:sz w:val="12"/>
          <w:szCs w:val="12"/>
        </w:rPr>
        <w:t>Modalità del trattamento. I dati saranno trattati dagli incaricati sia con strumenti cartacei sia con strumenti informatici a disposizione degli uffici.</w:t>
      </w:r>
    </w:p>
    <w:p>
      <w:pPr>
        <w:pStyle w:val="Normal"/>
        <w:rPr>
          <w:rFonts w:ascii="Arial" w:hAnsi="Arial"/>
          <w:sz w:val="12"/>
          <w:szCs w:val="12"/>
        </w:rPr>
      </w:pPr>
      <w:r>
        <w:rPr>
          <w:rFonts w:ascii="Arial" w:hAnsi="Arial"/>
          <w:sz w:val="12"/>
          <w:szCs w:val="12"/>
        </w:rPr>
        <w:t>Ambito di comunicazione.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pPr>
        <w:pStyle w:val="Normal"/>
        <w:rPr>
          <w:rFonts w:ascii="Arial" w:hAnsi="Arial"/>
          <w:sz w:val="12"/>
          <w:szCs w:val="12"/>
        </w:rPr>
      </w:pPr>
      <w:r>
        <w:rPr>
          <w:rFonts w:ascii="Arial" w:hAnsi="Arial"/>
          <w:sz w:val="12"/>
          <w:szCs w:val="12"/>
        </w:rPr>
        <w:t>Diritti. L’interessato può in ogni momento esercitare i diritti di accesso, di rettifica, di aggiornamento e di integrazione dei dati come previsto dall’art. 7 del d.lgs. n. 196/2003. Per esercitare tali diritti tutte le richieste devono essere rivolte al SUAP.</w:t>
      </w:r>
    </w:p>
    <w:p>
      <w:pPr>
        <w:pStyle w:val="Normal"/>
        <w:rPr>
          <w:rFonts w:ascii="Arial" w:hAnsi="Arial"/>
          <w:sz w:val="12"/>
          <w:szCs w:val="12"/>
        </w:rPr>
      </w:pPr>
      <w:r>
        <w:rPr>
          <w:rFonts w:ascii="Arial" w:hAnsi="Arial"/>
          <w:sz w:val="12"/>
          <w:szCs w:val="12"/>
        </w:rPr>
        <w:t>Titolare del trattamento: SUAP in cui è localizzata l'attività</w:t>
      </w:r>
    </w:p>
    <w:p>
      <w:pPr>
        <w:pStyle w:val="Normal"/>
        <w:rPr>
          <w:rFonts w:ascii="Arial" w:hAnsi="Arial"/>
          <w:sz w:val="12"/>
          <w:szCs w:val="12"/>
        </w:rPr>
      </w:pPr>
      <w:r>
        <w:rPr>
          <w:rFonts w:ascii="Arial" w:hAnsi="Arial"/>
          <w:sz w:val="12"/>
          <w:szCs w:val="12"/>
        </w:rPr>
        <w:t>Il/la sottoscritto/a dichiara di aver letto l’informativa sul trattamento dei dati personali.</w:t>
      </w:r>
    </w:p>
    <w:p>
      <w:pPr>
        <w:pStyle w:val="Normal"/>
        <w:rPr>
          <w:rFonts w:ascii="Arial" w:hAnsi="Arial"/>
          <w:sz w:val="12"/>
          <w:szCs w:val="12"/>
        </w:rPr>
      </w:pPr>
      <w:r>
        <w:rPr>
          <w:rFonts w:ascii="Arial" w:hAnsi="Arial"/>
          <w:sz w:val="12"/>
          <w:szCs w:val="12"/>
        </w:rPr>
      </w:r>
    </w:p>
    <w:p>
      <w:pPr>
        <w:pStyle w:val="Normal"/>
        <w:rPr>
          <w:sz w:val="16"/>
          <w:szCs w:val="16"/>
        </w:rPr>
      </w:pPr>
      <w:r>
        <w:rPr>
          <w:sz w:val="16"/>
          <w:szCs w:val="16"/>
        </w:rPr>
      </w:r>
    </w:p>
    <w:tbl>
      <w:tblPr>
        <w:tblW w:w="9619" w:type="dxa"/>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 w:type="dxa"/>
          <w:bottom w:w="0" w:type="dxa"/>
          <w:right w:w="0" w:type="dxa"/>
        </w:tblCellMar>
      </w:tblPr>
      <w:tblGrid>
        <w:gridCol w:w="5352"/>
        <w:gridCol w:w="4267"/>
      </w:tblGrid>
      <w:tr>
        <w:trPr/>
        <w:tc>
          <w:tcPr>
            <w:tcW w:w="961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vAlign w:val="center"/>
          </w:tcPr>
          <w:p>
            <w:pPr>
              <w:pStyle w:val="TableContents"/>
              <w:pBdr/>
              <w:spacing w:before="0" w:after="0"/>
              <w:ind w:left="79" w:right="-85" w:hanging="0"/>
              <w:rPr>
                <w:rFonts w:ascii="Arial" w:hAnsi="Arial"/>
                <w:b/>
                <w:color w:val="FF0000"/>
                <w:sz w:val="28"/>
                <w:szCs w:val="28"/>
              </w:rPr>
            </w:pPr>
            <w:r>
              <w:rPr>
                <w:rFonts w:ascii="Arial" w:hAnsi="Arial"/>
                <w:b/>
                <w:color w:val="FF0000"/>
                <w:sz w:val="28"/>
                <w:szCs w:val="28"/>
              </w:rPr>
              <w:t>3. Opzioni di firma</w:t>
            </w:r>
          </w:p>
        </w:tc>
      </w:tr>
      <w:tr>
        <w:trPr/>
        <w:tc>
          <w:tcPr>
            <w:tcW w:w="5352"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TableContents"/>
              <w:suppressLineNumbers/>
              <w:pBdr/>
              <w:snapToGrid w:val="false"/>
              <w:spacing w:before="57" w:after="57"/>
              <w:ind w:left="57" w:right="131" w:hanging="0"/>
              <w:jc w:val="both"/>
              <w:rPr>
                <w:rFonts w:ascii="Arial" w:hAnsi="Arial" w:cs="Arial"/>
                <w:b w:val="false"/>
                <w:bCs w:val="false"/>
                <w:i w:val="false"/>
                <w:iCs w:val="false"/>
                <w:sz w:val="16"/>
                <w:szCs w:val="16"/>
              </w:rPr>
            </w:pPr>
            <w:r>
              <w:rPr>
                <w:rFonts w:cs="Arial" w:ascii="Arial" w:hAnsi="Arial"/>
                <w:b/>
                <w:bCs/>
                <w:iCs w:val="false"/>
                <w:sz w:val="16"/>
                <w:szCs w:val="16"/>
              </w:rPr>
              <w:t>In caso sia stata conferita procura speciale</w:t>
            </w:r>
            <w:r>
              <w:rPr>
                <w:rFonts w:cs="Arial" w:ascii="Arial" w:hAnsi="Arial"/>
                <w:bCs w:val="false"/>
                <w:iCs w:val="false"/>
                <w:sz w:val="16"/>
                <w:szCs w:val="16"/>
              </w:rPr>
              <w:t xml:space="preserve">, il presente documento è sottoscritto con </w:t>
            </w:r>
            <w:r>
              <w:rPr>
                <w:rFonts w:cs="Arial" w:ascii="Arial" w:hAnsi="Arial"/>
                <w:b/>
                <w:bCs/>
                <w:iCs w:val="false"/>
                <w:sz w:val="16"/>
                <w:szCs w:val="16"/>
              </w:rPr>
              <w:t>firma autografa</w:t>
            </w:r>
            <w:r>
              <w:rPr>
                <w:rFonts w:cs="Arial" w:ascii="Arial" w:hAnsi="Arial"/>
                <w:bCs w:val="false"/>
                <w:iCs w:val="false"/>
                <w:sz w:val="16"/>
                <w:szCs w:val="16"/>
              </w:rPr>
              <w:t xml:space="preserve"> dal soggetto delegante e conservato in originale dal procuratore, il quale provvederà a firmare digitalmente il modulo inviato al SUAP</w:t>
            </w:r>
          </w:p>
        </w:tc>
        <w:tc>
          <w:tcPr>
            <w:tcW w:w="4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tcPr>
          <w:p>
            <w:pPr>
              <w:pStyle w:val="Normal"/>
              <w:snapToGrid w:val="false"/>
              <w:spacing w:before="57" w:after="0"/>
              <w:ind w:left="103" w:right="0" w:hanging="0"/>
              <w:rPr>
                <w:rFonts w:ascii="Arial" w:hAnsi="Arial" w:cs="Arial"/>
                <w:b w:val="false"/>
                <w:bCs w:val="false"/>
                <w:i w:val="false"/>
                <w:iCs w:val="false"/>
                <w:sz w:val="12"/>
                <w:szCs w:val="12"/>
              </w:rPr>
            </w:pPr>
            <w:r>
              <w:rPr>
                <w:rFonts w:cs="Arial" w:ascii="Arial" w:hAnsi="Arial"/>
                <w:bCs w:val="false"/>
                <w:iCs w:val="false"/>
                <w:sz w:val="12"/>
                <w:szCs w:val="12"/>
              </w:rPr>
              <w:t>(Firma autografa in questo spazio)</w:t>
            </w:r>
          </w:p>
        </w:tc>
      </w:tr>
    </w:tbl>
    <w:p>
      <w:pPr>
        <w:pStyle w:val="Normal"/>
        <w:rPr>
          <w:sz w:val="16"/>
          <w:szCs w:val="16"/>
        </w:rPr>
      </w:pPr>
      <w:r>
        <w:rPr>
          <w:sz w:val="16"/>
          <w:szCs w:val="16"/>
        </w:rPr>
      </w:r>
    </w:p>
    <w:tbl>
      <w:tblPr>
        <w:tblW w:w="9621" w:type="dxa"/>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left w:w="103" w:type="dxa"/>
          <w:bottom w:w="108" w:type="dxa"/>
          <w:right w:w="108" w:type="dxa"/>
        </w:tblCellMar>
      </w:tblPr>
      <w:tblGrid>
        <w:gridCol w:w="9621"/>
      </w:tblGrid>
      <w:tr>
        <w:trPr>
          <w:trHeight w:val="284" w:hRule="atLeast"/>
        </w:trPr>
        <w:tc>
          <w:tcPr>
            <w:tcW w:w="96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0" w:after="57"/>
              <w:jc w:val="both"/>
              <w:rPr>
                <w:rFonts w:ascii="Arial" w:hAnsi="Arial" w:cs="Arial"/>
                <w:b/>
                <w:b/>
                <w:color w:val="0000FF"/>
                <w:sz w:val="20"/>
                <w:szCs w:val="20"/>
              </w:rPr>
            </w:pPr>
            <w:r>
              <w:rPr>
                <w:rFonts w:cs="Arial" w:ascii="Arial" w:hAnsi="Arial"/>
                <w:b/>
                <w:color w:val="0000FF"/>
                <w:sz w:val="20"/>
                <w:szCs w:val="20"/>
              </w:rPr>
              <w:t>Note di compilazione</w:t>
            </w:r>
          </w:p>
          <w:p>
            <w:pPr>
              <w:pStyle w:val="Normal"/>
              <w:snapToGrid w:val="false"/>
              <w:jc w:val="left"/>
              <w:rPr>
                <w:rFonts w:ascii="Arial" w:hAnsi="Arial"/>
                <w:b/>
                <w:b/>
                <w:bCs/>
                <w:color w:val="auto"/>
                <w:sz w:val="12"/>
                <w:szCs w:val="12"/>
              </w:rPr>
            </w:pPr>
            <w:r>
              <w:rPr>
                <w:rFonts w:ascii="Arial" w:hAnsi="Arial"/>
                <w:b/>
                <w:bCs/>
                <w:color w:val="auto"/>
                <w:sz w:val="12"/>
                <w:szCs w:val="12"/>
              </w:rPr>
              <w:t>A seguito dell'Accordo raggiunto sulla modulistica unificata e standardizzata, approvata dalla Conferenza Unificata  in data 4 maggio 2017:</w:t>
            </w:r>
          </w:p>
          <w:p>
            <w:pPr>
              <w:pStyle w:val="Normal"/>
              <w:snapToGrid w:val="false"/>
              <w:jc w:val="both"/>
              <w:rPr>
                <w:rFonts w:ascii="Arial" w:hAnsi="Arial"/>
                <w:sz w:val="12"/>
                <w:szCs w:val="12"/>
              </w:rPr>
            </w:pPr>
            <w:r>
              <w:rPr>
                <w:rFonts w:ascii="Arial" w:hAnsi="Arial"/>
                <w:sz w:val="12"/>
                <w:szCs w:val="12"/>
              </w:rPr>
              <w:t>1) Non potranno più essere richiesti certificati, atti e documenti che la Pubblica Amministrazione già possiede (per esempio: le certificazioni relative ai titoli di studio o professionali, richiesti per avviare alcune attività, la certificazione antimafia, etc.), ma solo gli elementi che consentano all'amministrazione di acquisirli o di effettuare i relativi controlli, anche a campione (articolo 18, legge n. 241 del 1990).</w:t>
            </w:r>
          </w:p>
          <w:p>
            <w:pPr>
              <w:pStyle w:val="Normal"/>
              <w:snapToGrid w:val="false"/>
              <w:jc w:val="both"/>
              <w:rPr>
                <w:rFonts w:ascii="Arial" w:hAnsi="Arial"/>
                <w:sz w:val="12"/>
                <w:szCs w:val="12"/>
              </w:rPr>
            </w:pPr>
            <w:r>
              <w:rPr>
                <w:rFonts w:ascii="Arial" w:hAnsi="Arial"/>
                <w:sz w:val="12"/>
                <w:szCs w:val="12"/>
              </w:rPr>
              <w:t>2) Non potranno più essere richiesti dati e adempimenti che derivano da prassi amministrative, ma che non sono espressamente previsti dalla legge (ad esempio: non potrà più essere richiesto il certificato di agibilità dei locali per l'avvio di un'attività commerciale o produttiva). Sarà sufficiente una semplice dichiarazione di conformità ai regolamenti urbanistici, igienico sanitari, etc.</w:t>
            </w:r>
          </w:p>
        </w:tc>
      </w:tr>
    </w:tbl>
    <w:p>
      <w:pPr>
        <w:pStyle w:val="Normal"/>
        <w:snapToGrid w:val="false"/>
        <w:jc w:val="both"/>
        <w:rPr>
          <w:rFonts w:ascii="Arial" w:hAnsi="Arial"/>
          <w:sz w:val="12"/>
          <w:szCs w:val="12"/>
        </w:rPr>
      </w:pPr>
      <w:r>
        <w:rPr>
          <w:rFonts w:ascii="Arial" w:hAnsi="Arial"/>
          <w:sz w:val="12"/>
          <w:szCs w:val="12"/>
        </w:rPr>
      </w:r>
    </w:p>
    <w:p>
      <w:pPr>
        <w:pStyle w:val="Normal"/>
        <w:snapToGrid w:val="false"/>
        <w:jc w:val="both"/>
        <w:rPr>
          <w:rFonts w:ascii="Arial" w:hAnsi="Arial"/>
          <w:sz w:val="12"/>
          <w:szCs w:val="12"/>
        </w:rPr>
      </w:pPr>
      <w:r>
        <w:rPr>
          <w:rFonts w:ascii="Arial" w:hAnsi="Arial"/>
          <w:sz w:val="12"/>
          <w:szCs w:val="12"/>
        </w:rPr>
        <w:t>Per le attività da svolgere su suolo pubblico, è necessario avere la relativa concessione.</w:t>
      </w:r>
    </w:p>
    <w:p>
      <w:pPr>
        <w:pStyle w:val="Normal"/>
        <w:snapToGrid w:val="false"/>
        <w:jc w:val="both"/>
        <w:rPr>
          <w:rFonts w:ascii="Arial" w:hAnsi="Arial"/>
          <w:sz w:val="12"/>
          <w:szCs w:val="12"/>
        </w:rPr>
      </w:pPr>
      <w:r>
        <w:rPr>
          <w:rFonts w:ascii="Arial" w:hAnsi="Arial"/>
          <w:sz w:val="12"/>
          <w:szCs w:val="12"/>
        </w:rPr>
      </w:r>
    </w:p>
    <w:p>
      <w:pPr>
        <w:pStyle w:val="Normal"/>
        <w:snapToGrid w:val="false"/>
        <w:jc w:val="both"/>
        <w:rPr>
          <w:rFonts w:ascii="Arial" w:hAnsi="Arial"/>
          <w:sz w:val="12"/>
          <w:szCs w:val="12"/>
        </w:rPr>
      </w:pPr>
      <w:r>
        <w:rPr>
          <w:rFonts w:ascii="Arial" w:hAnsi="Arial"/>
          <w:sz w:val="12"/>
          <w:szCs w:val="12"/>
        </w:rPr>
        <w:t>Attenzione: qualora dai controlli successivi il contenuto delle dichiarazioni risulti non corrispondente al vero, oltre alle sanzioni penali, è prevista la decadenza dai benefici ottenuti sulla base delle dichiarazioni stesse (art. 75 del DPR 445 del 2000).</w:t>
      </w:r>
      <w:r>
        <w:br w:type="page"/>
      </w:r>
    </w:p>
    <w:tbl>
      <w:tblPr>
        <w:tblW w:w="9638" w:type="dxa"/>
        <w:jc w:val="left"/>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2408"/>
        <w:gridCol w:w="3639"/>
        <w:gridCol w:w="3591"/>
      </w:tblGrid>
      <w:tr>
        <w:trPr/>
        <w:tc>
          <w:tcPr>
            <w:tcW w:w="9638" w:type="dxa"/>
            <w:gridSpan w:val="3"/>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Heading2"/>
              <w:keepNext w:val="true"/>
              <w:pageBreakBefore/>
              <w:numPr>
                <w:ilvl w:val="0"/>
                <w:numId w:val="0"/>
              </w:numPr>
              <w:spacing w:before="57" w:after="57"/>
              <w:ind w:left="0" w:right="0" w:hanging="0"/>
              <w:rPr>
                <w:rFonts w:ascii="Arial" w:hAnsi="Arial" w:eastAsia="Arial Unicode MS" w:cs="Tahoma"/>
                <w:i w:val="false"/>
                <w:i w:val="false"/>
                <w:iCs w:val="false"/>
                <w:color w:val="0000FF"/>
                <w:sz w:val="16"/>
                <w:szCs w:val="16"/>
              </w:rPr>
            </w:pPr>
            <w:r>
              <w:rPr>
                <w:rFonts w:eastAsia="Arial Unicode MS" w:cs="Tahoma"/>
                <w:i w:val="false"/>
                <w:iCs w:val="false"/>
                <w:color w:val="0000FF"/>
                <w:sz w:val="16"/>
                <w:szCs w:val="16"/>
              </w:rPr>
              <w:t xml:space="preserve">Quadro riepilogativo della documentazione allegata </w:t>
            </w:r>
          </w:p>
        </w:tc>
      </w:tr>
      <w:tr>
        <w:trPr/>
        <w:tc>
          <w:tcPr>
            <w:tcW w:w="9638" w:type="dxa"/>
            <w:gridSpan w:val="3"/>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Heading2"/>
              <w:keepNext w:val="true"/>
              <w:numPr>
                <w:ilvl w:val="0"/>
                <w:numId w:val="0"/>
              </w:numPr>
              <w:spacing w:before="57" w:after="57"/>
              <w:ind w:left="0" w:right="0" w:hanging="0"/>
              <w:rPr>
                <w:rFonts w:ascii="Arial" w:hAnsi="Arial" w:eastAsia="Arial Unicode MS" w:cs="Tahoma"/>
                <w:i w:val="false"/>
                <w:i w:val="false"/>
                <w:iCs w:val="false"/>
                <w:color w:val="0000FF"/>
                <w:sz w:val="16"/>
                <w:szCs w:val="16"/>
              </w:rPr>
            </w:pPr>
            <w:r>
              <w:rPr>
                <w:rFonts w:eastAsia="Arial Unicode MS" w:cs="Tahoma"/>
                <w:i w:val="false"/>
                <w:iCs w:val="false"/>
                <w:color w:val="0000FF"/>
                <w:sz w:val="16"/>
                <w:szCs w:val="16"/>
              </w:rPr>
              <w:t>Il sistema SUAP in rete propone automaticamente i moduli e gli allegati necessari per il procedimento scelto</w:t>
            </w:r>
          </w:p>
        </w:tc>
      </w:tr>
      <w:tr>
        <w:trPr/>
        <w:tc>
          <w:tcPr>
            <w:tcW w:w="2408"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Heading2"/>
              <w:keepNext w:val="true"/>
              <w:numPr>
                <w:ilvl w:val="0"/>
                <w:numId w:val="0"/>
              </w:numPr>
              <w:spacing w:before="57" w:after="57"/>
              <w:ind w:left="0" w:right="0" w:hanging="0"/>
              <w:jc w:val="center"/>
              <w:rPr>
                <w:rFonts w:ascii="Arial" w:hAnsi="Arial" w:eastAsia="Arial Unicode MS" w:cs="Tahoma"/>
                <w:b w:val="false"/>
                <w:b w:val="false"/>
                <w:bCs w:val="false"/>
                <w:i w:val="false"/>
                <w:i w:val="false"/>
                <w:iCs w:val="false"/>
                <w:color w:val="0000FF"/>
                <w:sz w:val="16"/>
                <w:szCs w:val="16"/>
              </w:rPr>
            </w:pPr>
            <w:r>
              <w:rPr>
                <w:rFonts w:eastAsia="Arial Unicode MS" w:cs="Tahoma"/>
                <w:b w:val="false"/>
                <w:bCs w:val="false"/>
                <w:i w:val="false"/>
                <w:iCs w:val="false"/>
                <w:color w:val="0000FF"/>
                <w:sz w:val="16"/>
                <w:szCs w:val="16"/>
              </w:rPr>
              <w:t xml:space="preserve">Denominazione </w:t>
            </w:r>
          </w:p>
        </w:tc>
        <w:tc>
          <w:tcPr>
            <w:tcW w:w="3639"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Heading2"/>
              <w:keepNext w:val="true"/>
              <w:numPr>
                <w:ilvl w:val="0"/>
                <w:numId w:val="0"/>
              </w:numPr>
              <w:spacing w:before="57" w:after="57"/>
              <w:ind w:left="0" w:right="0" w:hanging="0"/>
              <w:jc w:val="center"/>
              <w:rPr>
                <w:rFonts w:ascii="Arial" w:hAnsi="Arial" w:eastAsia="Arial Unicode MS" w:cs="Tahoma"/>
                <w:b w:val="false"/>
                <w:b w:val="false"/>
                <w:bCs w:val="false"/>
                <w:i w:val="false"/>
                <w:i w:val="false"/>
                <w:iCs w:val="false"/>
                <w:color w:val="0000FF"/>
                <w:sz w:val="16"/>
                <w:szCs w:val="16"/>
              </w:rPr>
            </w:pPr>
            <w:r>
              <w:rPr>
                <w:rFonts w:eastAsia="Arial Unicode MS" w:cs="Tahoma"/>
                <w:b w:val="false"/>
                <w:bCs w:val="false"/>
                <w:i w:val="false"/>
                <w:iCs w:val="false"/>
                <w:color w:val="0000FF"/>
                <w:sz w:val="16"/>
                <w:szCs w:val="16"/>
              </w:rPr>
              <w:t>Casi in cui è previsto il documento allegato</w:t>
            </w:r>
          </w:p>
        </w:tc>
        <w:tc>
          <w:tcPr>
            <w:tcW w:w="359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napToGrid w:val="false"/>
              <w:ind w:left="57" w:right="0" w:hanging="0"/>
              <w:jc w:val="both"/>
              <w:rPr>
                <w:rFonts w:ascii="Arial" w:hAnsi="Arial" w:eastAsia="Arial Unicode MS" w:cs="Tahoma"/>
                <w:i w:val="false"/>
                <w:i w:val="false"/>
                <w:iCs w:val="false"/>
                <w:color w:val="0000FF"/>
                <w:sz w:val="16"/>
                <w:szCs w:val="16"/>
              </w:rPr>
            </w:pPr>
            <w:r>
              <w:rPr>
                <w:rFonts w:eastAsia="Arial Unicode MS" w:cs="Tahoma" w:ascii="Arial" w:hAnsi="Arial"/>
                <w:i w:val="false"/>
                <w:iCs w:val="false"/>
                <w:color w:val="0000FF"/>
                <w:sz w:val="16"/>
                <w:szCs w:val="16"/>
              </w:rPr>
              <w:t>Caratteristiche di alcuni documenti allegati</w:t>
            </w:r>
          </w:p>
        </w:tc>
      </w:tr>
      <w:tr>
        <w:trPr/>
        <w:tc>
          <w:tcPr>
            <w:tcW w:w="2408"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 xml:space="preserve">Procura/delega </w:t>
            </w:r>
          </w:p>
        </w:tc>
        <w:tc>
          <w:tcPr>
            <w:tcW w:w="3639"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Nel caso di procura/delega a presentare la segnalazione</w:t>
            </w:r>
          </w:p>
        </w:tc>
        <w:tc>
          <w:tcPr>
            <w:tcW w:w="359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2408"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Copia del documento di identità del/i titolare/i</w:t>
            </w:r>
          </w:p>
        </w:tc>
        <w:tc>
          <w:tcPr>
            <w:tcW w:w="3639"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Nel caso in cui la segnalazione non sia sottoscritta in forma digitale e in assenza di procura</w:t>
            </w:r>
          </w:p>
        </w:tc>
        <w:tc>
          <w:tcPr>
            <w:tcW w:w="359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2408"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Dichiarazioni sul possesso dei requisiti da parte degli altri soci + copia del documento di identità</w:t>
            </w:r>
          </w:p>
        </w:tc>
        <w:tc>
          <w:tcPr>
            <w:tcW w:w="3639"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Sempre, in presenza di soggetti (es. soci) diversi dal dichiarante</w:t>
            </w:r>
          </w:p>
        </w:tc>
        <w:tc>
          <w:tcPr>
            <w:tcW w:w="359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2408"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Dichiarazioni sul possesso dei requisiti da parte del preposto + copia del documento di identità</w:t>
            </w:r>
          </w:p>
        </w:tc>
        <w:tc>
          <w:tcPr>
            <w:tcW w:w="3639"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Sempre, in presenza di un preposto</w:t>
            </w:r>
          </w:p>
        </w:tc>
        <w:tc>
          <w:tcPr>
            <w:tcW w:w="359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pPr>
            <w:r>
              <w:rPr/>
            </w:r>
          </w:p>
        </w:tc>
      </w:tr>
      <w:tr>
        <w:trPr/>
        <w:tc>
          <w:tcPr>
            <w:tcW w:w="2408"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 xml:space="preserve">Planimetria quotata dei locali </w:t>
            </w:r>
          </w:p>
        </w:tc>
        <w:tc>
          <w:tcPr>
            <w:tcW w:w="3639"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Sempre obbligatoria per le Medie Strutture di Vendita Maggiori e le Grandi Strutture di Vendita</w:t>
            </w:r>
          </w:p>
        </w:tc>
        <w:tc>
          <w:tcPr>
            <w:tcW w:w="359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cs="Arial" w:ascii="Arial" w:hAnsi="Arial"/>
                <w:b/>
                <w:bCs/>
                <w:color w:val="auto"/>
                <w:sz w:val="12"/>
                <w:szCs w:val="12"/>
              </w:rPr>
              <w:t>(*)</w:t>
            </w:r>
            <w:r>
              <w:rPr>
                <w:rFonts w:cs="Arial" w:ascii="Arial" w:hAnsi="Arial"/>
                <w:b/>
                <w:bCs/>
                <w:color w:val="auto"/>
                <w:sz w:val="16"/>
                <w:szCs w:val="16"/>
              </w:rPr>
              <w:t xml:space="preserve"> </w:t>
            </w:r>
            <w:r>
              <w:rPr>
                <w:rFonts w:ascii="Arial" w:hAnsi="Arial"/>
                <w:b w:val="false"/>
                <w:bCs w:val="false"/>
                <w:sz w:val="12"/>
                <w:szCs w:val="12"/>
              </w:rPr>
              <w:t>Per le Medie Strutture di Vendita Maggiori e le Grandi Strutture di Vendita planimetria quotata, indicante la destinazione d’uso dei locali, con evidenziate la superficie di vendita distinta per settori merceologici, e quella destinata a magazzini, servizi, uffici, depositi, locali di lavorazione. In caso di ampliamento, deve essere evidenziata, con idonei accorgimenti, la superficie preesistente all’ampliamento e quella successiva all’ampliamento stesso.</w:t>
            </w:r>
          </w:p>
          <w:p>
            <w:pPr>
              <w:pStyle w:val="Normal"/>
              <w:ind w:left="57" w:right="0" w:hanging="0"/>
              <w:rPr>
                <w:rFonts w:ascii="Arial" w:hAnsi="Arial"/>
                <w:b w:val="false"/>
                <w:b w:val="false"/>
                <w:bCs w:val="false"/>
                <w:sz w:val="12"/>
                <w:szCs w:val="12"/>
              </w:rPr>
            </w:pPr>
            <w:r>
              <w:rPr>
                <w:rFonts w:ascii="Arial" w:hAnsi="Arial"/>
                <w:b w:val="false"/>
                <w:bCs w:val="false"/>
                <w:sz w:val="12"/>
                <w:szCs w:val="12"/>
              </w:rPr>
              <w:t>In caso di centro/complesso commerciale, legenda/elenco dei singoli esercizi, con l’indicazione del settore merceologico, della superficie di vendita e della superficie totale, nonché degli esercizi di somministrazione, artigianali e a diversa destinazione inseriti nel centro o complesso commerciale;</w:t>
            </w:r>
          </w:p>
          <w:p>
            <w:pPr>
              <w:pStyle w:val="Normal"/>
              <w:ind w:left="57" w:right="0" w:hanging="0"/>
              <w:rPr>
                <w:rFonts w:ascii="Arial" w:hAnsi="Arial"/>
                <w:b w:val="false"/>
                <w:b w:val="false"/>
                <w:bCs w:val="false"/>
                <w:sz w:val="12"/>
                <w:szCs w:val="12"/>
              </w:rPr>
            </w:pPr>
            <w:r>
              <w:rPr>
                <w:rFonts w:ascii="Arial" w:hAnsi="Arial"/>
                <w:b w:val="false"/>
                <w:bCs w:val="false"/>
                <w:sz w:val="12"/>
                <w:szCs w:val="12"/>
              </w:rPr>
              <w:t>dati identificativi dell’immobile (estremi del permesso di costruire, o altro documento utile che evidenzi gli estremi della domanda di P.D.C.)</w:t>
            </w:r>
          </w:p>
        </w:tc>
      </w:tr>
      <w:tr>
        <w:trPr/>
        <w:tc>
          <w:tcPr>
            <w:tcW w:w="2408"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 xml:space="preserve">Altra documentazione prevista dalla normativa regionale (*) </w:t>
            </w:r>
          </w:p>
        </w:tc>
        <w:tc>
          <w:tcPr>
            <w:tcW w:w="3639"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Esempi: Piano parcheggi, viabilità, ecc.</w:t>
            </w:r>
          </w:p>
        </w:tc>
        <w:tc>
          <w:tcPr>
            <w:tcW w:w="359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cs="Arial" w:ascii="Arial" w:hAnsi="Arial"/>
                <w:b/>
                <w:bCs/>
                <w:color w:val="auto"/>
                <w:sz w:val="12"/>
                <w:szCs w:val="12"/>
              </w:rPr>
              <w:t xml:space="preserve">(*) </w:t>
            </w:r>
            <w:r>
              <w:rPr>
                <w:rFonts w:ascii="Arial" w:hAnsi="Arial"/>
                <w:b w:val="false"/>
                <w:bCs w:val="false"/>
                <w:sz w:val="12"/>
                <w:szCs w:val="12"/>
              </w:rPr>
              <w:t>Per le Medie Strutture di Vendita Maggiori e le Grandi Strutture di Vendita relazione sulle superfici da destinare a parcheggi ed a sosta e movimentazione merci, attestante il rispetto dei parametri di cui alla normativa regionale vigente</w:t>
            </w:r>
          </w:p>
          <w:p>
            <w:pPr>
              <w:pStyle w:val="Normal"/>
              <w:ind w:left="57" w:right="0" w:hanging="0"/>
              <w:rPr>
                <w:rFonts w:ascii="Arial" w:hAnsi="Arial"/>
                <w:b w:val="false"/>
                <w:b w:val="false"/>
                <w:bCs w:val="false"/>
                <w:sz w:val="12"/>
                <w:szCs w:val="12"/>
              </w:rPr>
            </w:pPr>
            <w:r>
              <w:rPr>
                <w:rFonts w:ascii="Arial" w:hAnsi="Arial"/>
                <w:b w:val="false"/>
                <w:bCs w:val="false"/>
                <w:sz w:val="12"/>
                <w:szCs w:val="12"/>
              </w:rPr>
              <w:t>Per Grandi Strutture di Vendita  Studio degli impatti della struttura recante la stima del traffico generato ed attratto e la ridistribuzione sulla rete della viabilità, redatto secondo le modalità previste dalla normativa regionale vigente (inquadramento territoriale e studio sulla viabilità di afferenza/servizio)</w:t>
            </w:r>
          </w:p>
        </w:tc>
      </w:tr>
    </w:tbl>
    <w:p>
      <w:pPr>
        <w:pStyle w:val="Normal"/>
        <w:rPr/>
      </w:pPr>
      <w:r>
        <w:rPr/>
      </w:r>
    </w:p>
    <w:tbl>
      <w:tblPr>
        <w:tblW w:w="9638" w:type="dxa"/>
        <w:jc w:val="left"/>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3863"/>
        <w:gridCol w:w="5775"/>
      </w:tblGrid>
      <w:tr>
        <w:trPr/>
        <w:tc>
          <w:tcPr>
            <w:tcW w:w="963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Heading2"/>
              <w:keepNext w:val="true"/>
              <w:numPr>
                <w:ilvl w:val="0"/>
                <w:numId w:val="0"/>
              </w:numPr>
              <w:spacing w:before="57" w:after="57"/>
              <w:ind w:left="0" w:right="0" w:hanging="0"/>
              <w:rPr>
                <w:rFonts w:ascii="Arial" w:hAnsi="Arial" w:eastAsia="Arial Unicode MS" w:cs="Tahoma"/>
                <w:i w:val="false"/>
                <w:i w:val="false"/>
                <w:iCs w:val="false"/>
                <w:color w:val="0000FF"/>
                <w:sz w:val="16"/>
                <w:szCs w:val="16"/>
              </w:rPr>
            </w:pPr>
            <w:r>
              <w:rPr>
                <w:rFonts w:eastAsia="Arial Unicode MS" w:cs="Tahoma"/>
                <w:i w:val="false"/>
                <w:iCs w:val="false"/>
                <w:color w:val="0000FF"/>
                <w:sz w:val="16"/>
                <w:szCs w:val="16"/>
              </w:rPr>
              <w:t>SEGNALAZIONI, COMUNICAZIONI O DOMANDE COLLEGATE (utilizzando il sistema telematico)</w:t>
            </w:r>
          </w:p>
        </w:tc>
      </w:tr>
      <w:tr>
        <w:trPr/>
        <w:tc>
          <w:tcPr>
            <w:tcW w:w="9638" w:type="dxa"/>
            <w:gridSpan w:val="2"/>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Heading2"/>
              <w:numPr>
                <w:ilvl w:val="1"/>
                <w:numId w:val="1"/>
              </w:numPr>
              <w:spacing w:before="57" w:after="57"/>
              <w:ind w:left="0" w:right="0" w:hanging="576"/>
              <w:jc w:val="center"/>
              <w:rPr>
                <w:rFonts w:ascii="Arial" w:hAnsi="Arial" w:eastAsia="Arial Unicode MS" w:cs="Tahoma"/>
                <w:i w:val="false"/>
                <w:i w:val="false"/>
                <w:iCs w:val="false"/>
                <w:color w:val="0000FF"/>
                <w:sz w:val="16"/>
                <w:szCs w:val="16"/>
              </w:rPr>
            </w:pPr>
            <w:r>
              <w:rPr>
                <w:rFonts w:eastAsia="Arial Unicode MS" w:cs="Tahoma"/>
                <w:i w:val="false"/>
                <w:iCs w:val="false"/>
                <w:color w:val="0000FF"/>
                <w:sz w:val="16"/>
                <w:szCs w:val="16"/>
              </w:rPr>
              <w:t>Segnalazioni e comunicazioni</w:t>
            </w:r>
          </w:p>
        </w:tc>
      </w:tr>
      <w:tr>
        <w:trPr/>
        <w:tc>
          <w:tcPr>
            <w:tcW w:w="3863"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 xml:space="preserve">Notifica sanitaria (art. 6, Reg.CE n. 852/2004) </w:t>
            </w:r>
          </w:p>
        </w:tc>
        <w:tc>
          <w:tcPr>
            <w:tcW w:w="577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Sempre obbligatoria in caso di esercizio alimentare</w:t>
            </w:r>
          </w:p>
        </w:tc>
      </w:tr>
      <w:tr>
        <w:trPr/>
        <w:tc>
          <w:tcPr>
            <w:tcW w:w="3863"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SCIA per la vendita di prodotti agricoli e zootecnici, mangimi, prodotti di origine minerale e chimico industriali destinati all’alimentazione animale</w:t>
            </w:r>
          </w:p>
        </w:tc>
        <w:tc>
          <w:tcPr>
            <w:tcW w:w="57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In caso di vendita di prodotti agricoli e zootecnici, mangimi, prodotti di origine minerale e chimico industriali destinati all’alimentazione animale</w:t>
            </w:r>
          </w:p>
        </w:tc>
      </w:tr>
      <w:tr>
        <w:trPr/>
        <w:tc>
          <w:tcPr>
            <w:tcW w:w="3863"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 xml:space="preserve">Comunicazione, che vale quale denuncia per la vendita di alcolici (D.Lgs. n. 504/1995) </w:t>
            </w:r>
          </w:p>
        </w:tc>
        <w:tc>
          <w:tcPr>
            <w:tcW w:w="57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In caso di vendita di alcolici</w:t>
            </w:r>
          </w:p>
        </w:tc>
      </w:tr>
      <w:tr>
        <w:trPr/>
        <w:tc>
          <w:tcPr>
            <w:tcW w:w="3863"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SCIA prevenzione incendi</w:t>
            </w:r>
          </w:p>
        </w:tc>
        <w:tc>
          <w:tcPr>
            <w:tcW w:w="57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In caso di esercizio con superficie totale lorda, comprensiva di servizi e depositi (es. magazzini), superiore a 400 mq, o comunque se l’attività ricade in uno qualsiasi dei punti dell’Allegato I al D.P.R. n. 151/2011, ovvero In caso di vendita di gas liquefatti (GPL) in recipienti mobili con quantitativi superiori o uguali a 75 kg, ovvero In caso di vendita di gas infiammabili in recipienti mobili compressi con capacità geometrica Complessiva superiore o uguale a 0,75 mc</w:t>
            </w:r>
          </w:p>
        </w:tc>
      </w:tr>
      <w:tr>
        <w:trPr/>
        <w:tc>
          <w:tcPr>
            <w:tcW w:w="3863"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 xml:space="preserve">Comunicazione per la vendita di farmaci da banco e medicinali veterinari </w:t>
            </w:r>
          </w:p>
        </w:tc>
        <w:tc>
          <w:tcPr>
            <w:tcW w:w="57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In caso di vendita di farmaci da banco o medicinali veterinari</w:t>
            </w:r>
          </w:p>
        </w:tc>
      </w:tr>
      <w:tr>
        <w:trPr/>
        <w:tc>
          <w:tcPr>
            <w:tcW w:w="3863"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Comunicazione per la vendita di gas petrolio liquefatto (GPL) per combustione</w:t>
            </w:r>
          </w:p>
        </w:tc>
        <w:tc>
          <w:tcPr>
            <w:tcW w:w="57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In caso di vendita di gas di petrolio liquefatto (GPL) per combustione</w:t>
            </w:r>
          </w:p>
        </w:tc>
      </w:tr>
      <w:tr>
        <w:trPr/>
        <w:tc>
          <w:tcPr>
            <w:tcW w:w="3863"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Comunicazione, che vale quale denuncia per la vendita di gas infiammabili in recipienti mobili compressi (D.Lgs. n. 504/1995)</w:t>
            </w:r>
          </w:p>
        </w:tc>
        <w:tc>
          <w:tcPr>
            <w:tcW w:w="57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In caso di vendita di gas infiammabili in recipienti mobili compressi</w:t>
            </w:r>
          </w:p>
        </w:tc>
      </w:tr>
      <w:tr>
        <w:trPr/>
        <w:tc>
          <w:tcPr>
            <w:tcW w:w="3863"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SCIA per insegna di esercizio</w:t>
            </w:r>
          </w:p>
        </w:tc>
        <w:tc>
          <w:tcPr>
            <w:tcW w:w="57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 xml:space="preserve">In caso di attività che preveda insegna esterna (dove è prevista la SCIA) </w:t>
            </w:r>
          </w:p>
        </w:tc>
      </w:tr>
      <w:tr>
        <w:trPr/>
        <w:tc>
          <w:tcPr>
            <w:tcW w:w="9638" w:type="dxa"/>
            <w:gridSpan w:val="2"/>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Heading2"/>
              <w:keepNext w:val="true"/>
              <w:numPr>
                <w:ilvl w:val="0"/>
                <w:numId w:val="0"/>
              </w:numPr>
              <w:spacing w:before="57" w:after="57"/>
              <w:ind w:left="0" w:right="0" w:hanging="0"/>
              <w:jc w:val="center"/>
              <w:rPr>
                <w:rFonts w:ascii="Arial" w:hAnsi="Arial" w:eastAsia="Arial Unicode MS" w:cs="Tahoma"/>
                <w:i w:val="false"/>
                <w:i w:val="false"/>
                <w:iCs w:val="false"/>
                <w:color w:val="0000FF"/>
                <w:sz w:val="16"/>
                <w:szCs w:val="16"/>
              </w:rPr>
            </w:pPr>
            <w:r>
              <w:rPr>
                <w:rFonts w:eastAsia="Arial Unicode MS" w:cs="Tahoma"/>
                <w:i w:val="false"/>
                <w:iCs w:val="false"/>
                <w:color w:val="0000FF"/>
                <w:sz w:val="16"/>
                <w:szCs w:val="16"/>
              </w:rPr>
              <w:t>Autorizzazioni</w:t>
            </w:r>
          </w:p>
          <w:p>
            <w:pPr>
              <w:pStyle w:val="Heading2"/>
              <w:keepNext w:val="true"/>
              <w:numPr>
                <w:ilvl w:val="0"/>
                <w:numId w:val="0"/>
              </w:numPr>
              <w:spacing w:before="57" w:after="57"/>
              <w:ind w:left="0" w:right="0" w:hanging="0"/>
              <w:jc w:val="left"/>
              <w:rPr>
                <w:rFonts w:ascii="Arial" w:hAnsi="Arial" w:eastAsia="Arial Unicode MS" w:cs="Tahoma"/>
                <w:i w:val="false"/>
                <w:i w:val="false"/>
                <w:iCs w:val="false"/>
                <w:color w:val="0000FF"/>
                <w:sz w:val="16"/>
                <w:szCs w:val="16"/>
              </w:rPr>
            </w:pPr>
            <w:r>
              <w:rPr>
                <w:rFonts w:eastAsia="Arial Unicode MS" w:cs="Tahoma"/>
                <w:i w:val="false"/>
                <w:iCs w:val="false"/>
                <w:color w:val="0000FF"/>
                <w:sz w:val="16"/>
                <w:szCs w:val="16"/>
              </w:rPr>
              <w:t>Il/la sottoscritto/a è consapevole di non poter iniziare l’attività fino al rilascio dei relativi atti di assenso, che verrà comunicato dallo Sportello Unico.</w:t>
            </w:r>
          </w:p>
        </w:tc>
      </w:tr>
      <w:tr>
        <w:trPr/>
        <w:tc>
          <w:tcPr>
            <w:tcW w:w="3863"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Documentazione per la richiesta di Riconoscimento per la produzione e la commercializzazione dei prodotti di origine animale (Reg.CE n. 853/2004) o non animale (Reg.CE n. 852/2004)</w:t>
            </w:r>
          </w:p>
        </w:tc>
        <w:tc>
          <w:tcPr>
            <w:tcW w:w="57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In caso di produzione e commercializzazione dei prodotti di origine animale o non animale</w:t>
            </w:r>
          </w:p>
        </w:tc>
      </w:tr>
      <w:tr>
        <w:trPr/>
        <w:tc>
          <w:tcPr>
            <w:tcW w:w="3863"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Documentazione per il rilascio dell’autorizzazione per la vendita di prodotti fitosanitari</w:t>
            </w:r>
          </w:p>
        </w:tc>
        <w:tc>
          <w:tcPr>
            <w:tcW w:w="57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In caso di vendita di prodotti fitosanitari</w:t>
            </w:r>
          </w:p>
        </w:tc>
      </w:tr>
      <w:tr>
        <w:trPr/>
        <w:tc>
          <w:tcPr>
            <w:tcW w:w="3863"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Documentazione per la richiesta dell’autorizzazione di Pubblica Sicurezza per la vendita di oggetti preziosi</w:t>
            </w:r>
          </w:p>
        </w:tc>
        <w:tc>
          <w:tcPr>
            <w:tcW w:w="57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In caso di vendita di oggetti preziosi</w:t>
            </w:r>
          </w:p>
        </w:tc>
      </w:tr>
      <w:tr>
        <w:trPr/>
        <w:tc>
          <w:tcPr>
            <w:tcW w:w="3863"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Documentazione per la richiesta dell’autorizzazione di Pubblica Sicurezza per la vendita di armi diverse da quelle da guerra</w:t>
            </w:r>
          </w:p>
        </w:tc>
        <w:tc>
          <w:tcPr>
            <w:tcW w:w="57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In caso di vendita di armi diverse da quelle da guerra</w:t>
            </w:r>
          </w:p>
        </w:tc>
      </w:tr>
      <w:tr>
        <w:trPr/>
        <w:tc>
          <w:tcPr>
            <w:tcW w:w="3863"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Autorizzazione per insegna di esercizio</w:t>
            </w:r>
          </w:p>
        </w:tc>
        <w:tc>
          <w:tcPr>
            <w:tcW w:w="577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In caso di attività che preveda insegna esterna (dove è prevista la domanda di autorizzazione)</w:t>
            </w:r>
          </w:p>
        </w:tc>
      </w:tr>
    </w:tbl>
    <w:p>
      <w:pPr>
        <w:pStyle w:val="Normal"/>
        <w:rPr/>
      </w:pPr>
      <w:r>
        <w:rPr/>
      </w:r>
    </w:p>
    <w:tbl>
      <w:tblPr>
        <w:tblW w:w="9638" w:type="dxa"/>
        <w:jc w:val="left"/>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5375"/>
        <w:gridCol w:w="4263"/>
      </w:tblGrid>
      <w:tr>
        <w:trPr/>
        <w:tc>
          <w:tcPr>
            <w:tcW w:w="963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Heading2"/>
              <w:keepNext w:val="true"/>
              <w:numPr>
                <w:ilvl w:val="0"/>
                <w:numId w:val="0"/>
              </w:numPr>
              <w:spacing w:before="57" w:after="57"/>
              <w:ind w:left="0" w:right="0" w:hanging="0"/>
              <w:rPr>
                <w:rFonts w:ascii="Arial" w:hAnsi="Arial" w:eastAsia="Arial Unicode MS" w:cs="Tahoma"/>
                <w:i w:val="false"/>
                <w:i w:val="false"/>
                <w:iCs w:val="false"/>
                <w:color w:val="0000FF"/>
                <w:sz w:val="16"/>
                <w:szCs w:val="16"/>
              </w:rPr>
            </w:pPr>
            <w:r>
              <w:rPr>
                <w:rFonts w:eastAsia="Arial Unicode MS" w:cs="Tahoma"/>
                <w:i w:val="false"/>
                <w:iCs w:val="false"/>
                <w:color w:val="0000FF"/>
                <w:sz w:val="16"/>
                <w:szCs w:val="16"/>
              </w:rPr>
              <w:t>ALTRI ALLEGATI (attestazioni relative al versamento di oneri, diritti, etc. e dell’imposta di bollo)</w:t>
            </w:r>
          </w:p>
        </w:tc>
      </w:tr>
      <w:tr>
        <w:trPr/>
        <w:tc>
          <w:tcPr>
            <w:tcW w:w="5375" w:type="dxa"/>
            <w:tcBorders>
              <w:left w:val="single" w:sz="2" w:space="0" w:color="000000"/>
              <w:bottom w:val="single" w:sz="2" w:space="0" w:color="000000"/>
              <w:insideH w:val="single" w:sz="2" w:space="0" w:color="000000"/>
            </w:tcBorders>
            <w:shd w:fill="auto" w:val="clear"/>
            <w:tcMar>
              <w:left w:w="54" w:type="dxa"/>
            </w:tcMar>
          </w:tcPr>
          <w:p>
            <w:pPr>
              <w:pStyle w:val="Heading2"/>
              <w:keepNext w:val="true"/>
              <w:numPr>
                <w:ilvl w:val="0"/>
                <w:numId w:val="0"/>
              </w:numPr>
              <w:spacing w:before="57" w:after="57"/>
              <w:ind w:left="0" w:right="0" w:hanging="0"/>
              <w:jc w:val="center"/>
              <w:rPr>
                <w:rFonts w:ascii="Arial" w:hAnsi="Arial" w:eastAsia="Arial Unicode MS" w:cs="Tahoma"/>
                <w:b w:val="false"/>
                <w:b w:val="false"/>
                <w:bCs w:val="false"/>
                <w:i w:val="false"/>
                <w:i w:val="false"/>
                <w:iCs w:val="false"/>
                <w:color w:val="0000FF"/>
                <w:sz w:val="16"/>
                <w:szCs w:val="16"/>
              </w:rPr>
            </w:pPr>
            <w:r>
              <w:rPr>
                <w:rFonts w:eastAsia="Arial Unicode MS" w:cs="Tahoma"/>
                <w:b w:val="false"/>
                <w:bCs w:val="false"/>
                <w:i w:val="false"/>
                <w:iCs w:val="false"/>
                <w:color w:val="0000FF"/>
                <w:sz w:val="16"/>
                <w:szCs w:val="16"/>
              </w:rPr>
              <w:t>Denominazione</w:t>
            </w:r>
          </w:p>
        </w:tc>
        <w:tc>
          <w:tcPr>
            <w:tcW w:w="426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Heading2"/>
              <w:keepNext w:val="true"/>
              <w:numPr>
                <w:ilvl w:val="0"/>
                <w:numId w:val="0"/>
              </w:numPr>
              <w:spacing w:before="57" w:after="57"/>
              <w:ind w:left="0" w:right="0" w:hanging="0"/>
              <w:jc w:val="center"/>
              <w:rPr>
                <w:rFonts w:ascii="Arial" w:hAnsi="Arial" w:eastAsia="Arial Unicode MS" w:cs="Tahoma"/>
                <w:b w:val="false"/>
                <w:b w:val="false"/>
                <w:bCs w:val="false"/>
                <w:i w:val="false"/>
                <w:i w:val="false"/>
                <w:iCs w:val="false"/>
                <w:color w:val="0000FF"/>
                <w:sz w:val="16"/>
                <w:szCs w:val="16"/>
              </w:rPr>
            </w:pPr>
            <w:r>
              <w:rPr>
                <w:rFonts w:eastAsia="Arial Unicode MS" w:cs="Tahoma"/>
                <w:b w:val="false"/>
                <w:bCs w:val="false"/>
                <w:i w:val="false"/>
                <w:iCs w:val="false"/>
                <w:color w:val="0000FF"/>
                <w:sz w:val="16"/>
                <w:szCs w:val="16"/>
              </w:rPr>
              <w:t>Casi in cui è previsto il documento allegato</w:t>
            </w:r>
          </w:p>
        </w:tc>
      </w:tr>
      <w:tr>
        <w:trPr/>
        <w:tc>
          <w:tcPr>
            <w:tcW w:w="5375"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 xml:space="preserve">Attestazione del versamento di oneri, di diritti, ecc.(*) </w:t>
            </w:r>
          </w:p>
        </w:tc>
        <w:tc>
          <w:tcPr>
            <w:tcW w:w="426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Nella misura e con le modalità indicate sul sito dell’amministrazione</w:t>
            </w:r>
          </w:p>
        </w:tc>
      </w:tr>
      <w:tr>
        <w:trPr/>
        <w:tc>
          <w:tcPr>
            <w:tcW w:w="5375"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 Attestazione del versamento dell’imposta di bollo:</w:t>
            </w:r>
          </w:p>
          <w:p>
            <w:pPr>
              <w:pStyle w:val="Normal"/>
              <w:ind w:left="57" w:right="0" w:hanging="0"/>
              <w:rPr>
                <w:rFonts w:ascii="Arial" w:hAnsi="Arial"/>
                <w:b w:val="false"/>
                <w:b w:val="false"/>
                <w:bCs w:val="false"/>
                <w:sz w:val="12"/>
                <w:szCs w:val="12"/>
              </w:rPr>
            </w:pPr>
            <w:r>
              <w:rPr>
                <w:rFonts w:ascii="Arial" w:hAnsi="Arial"/>
                <w:b w:val="false"/>
                <w:bCs w:val="false"/>
                <w:sz w:val="12"/>
                <w:szCs w:val="12"/>
              </w:rPr>
              <w:t>estremi del codice identificativo della marca da bollo, che deve essere annullata e conservata dall’interessato;</w:t>
            </w:r>
          </w:p>
          <w:p>
            <w:pPr>
              <w:pStyle w:val="Normal"/>
              <w:ind w:left="57" w:right="0" w:hanging="0"/>
              <w:rPr>
                <w:rFonts w:ascii="Arial" w:hAnsi="Arial"/>
                <w:b w:val="false"/>
                <w:b w:val="false"/>
                <w:bCs w:val="false"/>
                <w:sz w:val="12"/>
                <w:szCs w:val="12"/>
              </w:rPr>
            </w:pPr>
            <w:r>
              <w:rPr>
                <w:rFonts w:ascii="Arial" w:hAnsi="Arial"/>
                <w:b w:val="false"/>
                <w:bCs w:val="false"/>
                <w:sz w:val="12"/>
                <w:szCs w:val="12"/>
              </w:rPr>
              <w:t>ovvero</w:t>
            </w:r>
          </w:p>
          <w:p>
            <w:pPr>
              <w:pStyle w:val="Normal"/>
              <w:ind w:left="57" w:right="0" w:hanging="0"/>
              <w:rPr>
                <w:rFonts w:ascii="Arial" w:hAnsi="Arial"/>
                <w:b w:val="false"/>
                <w:b w:val="false"/>
                <w:bCs w:val="false"/>
                <w:sz w:val="12"/>
                <w:szCs w:val="12"/>
              </w:rPr>
            </w:pPr>
            <w:r>
              <w:rPr>
                <w:rFonts w:ascii="Arial" w:hAnsi="Arial"/>
                <w:b w:val="false"/>
                <w:bCs w:val="false"/>
                <w:sz w:val="12"/>
                <w:szCs w:val="12"/>
              </w:rPr>
              <w:t>- Assolvimento dell’imposta di bollo con le altre modalità previste, anche in modalità virtuale o tramite @bollo</w:t>
            </w:r>
          </w:p>
        </w:tc>
        <w:tc>
          <w:tcPr>
            <w:tcW w:w="426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Obbligatoria per la presentazione di una domanda</w:t>
            </w:r>
          </w:p>
        </w:tc>
      </w:tr>
    </w:tbl>
    <w:p>
      <w:pPr>
        <w:pStyle w:val="Normal"/>
        <w:rPr/>
      </w:pPr>
      <w:r>
        <w:rPr/>
      </w:r>
    </w:p>
    <w:sectPr>
      <w:headerReference w:type="default" r:id="rId2"/>
      <w:footerReference w:type="default" r:id="rId3"/>
      <w:footnotePr>
        <w:numFmt w:val="decimal"/>
      </w:footnotePr>
      <w:type w:val="nextPage"/>
      <w:pgSz w:w="11906" w:h="16838"/>
      <w:pgMar w:left="1134" w:right="1134" w:header="1134" w:top="1785" w:footer="1134" w:bottom="1601"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default"/>
  </w:font>
  <w:font w:name="Arial">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sz w:val="16"/>
        <w:szCs w:val="16"/>
      </w:rPr>
    </w:pPr>
    <w:r>
      <w:rPr>
        <w:rFonts w:ascii="Arial" w:hAnsi="Arial"/>
        <w:sz w:val="16"/>
        <w:szCs w:val="16"/>
      </w:rPr>
      <w:fldChar w:fldCharType="begin"/>
    </w:r>
    <w:r>
      <w:instrText> PAGE </w:instrText>
    </w:r>
    <w:r>
      <w:fldChar w:fldCharType="separate"/>
    </w:r>
    <w:r>
      <w:t>6</w:t>
    </w:r>
    <w:r>
      <w:fldChar w:fldCharType="end"/>
    </w:r>
    <w:r>
      <w:rPr>
        <w:rFonts w:ascii="Arial" w:hAnsi="Arial"/>
        <w:sz w:val="16"/>
        <w:szCs w:val="16"/>
      </w:rPr>
      <w:t>/</w:t>
    </w:r>
    <w:r>
      <w:rPr>
        <w:rFonts w:ascii="Arial" w:hAnsi="Arial"/>
        <w:sz w:val="16"/>
        <w:szCs w:val="16"/>
      </w:rPr>
      <w:fldChar w:fldCharType="begin"/>
    </w:r>
    <w:r>
      <w:instrText> NUMPAGES </w:instrText>
    </w:r>
    <w:r>
      <w:fldChar w:fldCharType="separate"/>
    </w:r>
    <w:r>
      <w:t>6</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rFonts w:ascii="Arial" w:hAnsi="Arial"/>
          <w:sz w:val="12"/>
          <w:szCs w:val="12"/>
        </w:rPr>
      </w:pPr>
      <w:r>
        <w:rPr>
          <w:rFonts w:ascii="Arial" w:hAnsi="Arial"/>
          <w:sz w:val="12"/>
          <w:szCs w:val="12"/>
        </w:rPr>
        <w:footnoteRef/>
        <w:tab/>
        <w:t>Sono esercizi di vicinato: quelli con superficie di vendita fino a metri quadrati 250</w:t>
      </w:r>
    </w:p>
  </w:footnote>
  <w:footnote w:id="3">
    <w:p>
      <w:pPr>
        <w:pStyle w:val="Footnote"/>
        <w:rPr>
          <w:rFonts w:ascii="Arial" w:hAnsi="Arial"/>
          <w:sz w:val="12"/>
          <w:szCs w:val="12"/>
        </w:rPr>
      </w:pPr>
      <w:r>
        <w:rPr>
          <w:rFonts w:ascii="Arial" w:hAnsi="Arial"/>
          <w:sz w:val="12"/>
          <w:szCs w:val="12"/>
        </w:rPr>
        <w:footnoteRef/>
        <w:tab/>
        <w:t>Sono esercizi di media struttura minore: quelli con superficie di vendita superiore a metri quadrati 250 e fino a metri quadrati 400</w:t>
      </w:r>
    </w:p>
  </w:footnote>
  <w:footnote w:id="4">
    <w:p>
      <w:pPr>
        <w:pStyle w:val="Footnote"/>
        <w:rPr>
          <w:rFonts w:ascii="Arial" w:hAnsi="Arial"/>
          <w:sz w:val="12"/>
          <w:szCs w:val="12"/>
        </w:rPr>
      </w:pPr>
      <w:r>
        <w:rPr>
          <w:rFonts w:ascii="Arial" w:hAnsi="Arial"/>
          <w:sz w:val="12"/>
          <w:szCs w:val="12"/>
        </w:rPr>
        <w:footnoteRef/>
        <w:tab/>
        <w:t>Sono esercizi di media struttura maggiore: quelli con superficie di vendita superiore a metri quadrati 400 e fino a metri quadrati 1.500</w:t>
      </w:r>
    </w:p>
  </w:footnote>
  <w:footnote w:id="5">
    <w:p>
      <w:pPr>
        <w:pStyle w:val="Footnote"/>
        <w:rPr>
          <w:rFonts w:ascii="Arial" w:hAnsi="Arial"/>
          <w:sz w:val="12"/>
          <w:szCs w:val="12"/>
        </w:rPr>
      </w:pPr>
      <w:r>
        <w:rPr>
          <w:rFonts w:ascii="Arial" w:hAnsi="Arial"/>
          <w:sz w:val="12"/>
          <w:szCs w:val="12"/>
        </w:rPr>
        <w:footnoteRef/>
        <w:tab/>
        <w:t>Sono esercizi di grande struttura: quelli con superficie di vendita superiore a metri quadrati 1.500</w:t>
      </w:r>
    </w:p>
  </w:footnote>
  <w:footnote w:id="6">
    <w:p>
      <w:pPr>
        <w:pStyle w:val="Footnote"/>
        <w:rPr>
          <w:rFonts w:ascii="Arial" w:hAnsi="Arial"/>
          <w:sz w:val="12"/>
          <w:szCs w:val="12"/>
        </w:rPr>
      </w:pPr>
      <w:r>
        <w:rPr>
          <w:rFonts w:ascii="Arial" w:hAnsi="Arial"/>
          <w:sz w:val="12"/>
          <w:szCs w:val="12"/>
        </w:rPr>
        <w:footnoteRef/>
        <w:tab/>
        <w:t>E' centro commerciale al dettaglio: un insieme di più esercizi al dettaglio, realizzati secondo un progetto unitario, con infrastrutture e servizi gestiti unitariamente, la cui superficie complessiva di vendita sia superiore a metri quadrati 1.500 e la cui prevalente destinazione commerciale possa essere integrata da servizi all'utenza diversi da quelli esclusivamente commerciali, incluse le attività di intrattenimento e svago, con esclusione delle attività di vendita all'ingrosso</w:t>
      </w:r>
    </w:p>
  </w:footnote>
  <w:footnote w:id="7">
    <w:p>
      <w:pPr>
        <w:pStyle w:val="Footnote"/>
        <w:rPr>
          <w:rFonts w:ascii="Arial" w:hAnsi="Arial"/>
          <w:sz w:val="12"/>
          <w:szCs w:val="12"/>
        </w:rPr>
      </w:pPr>
      <w:r>
        <w:rPr>
          <w:rFonts w:ascii="Arial" w:hAnsi="Arial"/>
          <w:sz w:val="12"/>
          <w:szCs w:val="12"/>
        </w:rPr>
        <w:footnoteRef/>
        <w:tab/>
        <w:t>E' complesso commerciale: un insieme di più esercizi sia di vicinato, che di media o grande struttura, insediati in uno o più edifici, funzionalmente o fisicamente integrati tra loro, o che facciano parte di un unico Piano attuativo la cui superficie complessiva di vendita sia superiore a metri quadrati 1.500 e la cui prevalente destinazione commerciale possa essere integrata da servizi all'utenza diversi da quelli esclusivamente commerciali, incluse le attività di intrattenimento e svago</w:t>
      </w:r>
    </w:p>
  </w:footnote>
  <w:footnote w:id="8">
    <w:p>
      <w:pPr>
        <w:pStyle w:val="Footnote"/>
        <w:rPr>
          <w:rFonts w:ascii="Arial" w:hAnsi="Arial"/>
          <w:sz w:val="12"/>
          <w:szCs w:val="12"/>
        </w:rPr>
      </w:pPr>
      <w:r>
        <w:rPr>
          <w:rFonts w:eastAsia="Arial Unicode MS" w:cs="Tahoma" w:ascii="Arial" w:hAnsi="Arial"/>
          <w:b/>
          <w:bCs/>
          <w:color w:val="auto"/>
          <w:sz w:val="12"/>
          <w:szCs w:val="12"/>
        </w:rPr>
        <w:footnoteRef/>
        <w:tab/>
        <w:t xml:space="preserve">(*) </w:t>
      </w:r>
      <w:r>
        <w:rPr>
          <w:rFonts w:ascii="Arial" w:hAnsi="Arial"/>
          <w:sz w:val="12"/>
          <w:szCs w:val="12"/>
        </w:rPr>
        <w:t>La  distinzione  tra  destinazione d’uso commerciale al dettaglio e commerciale all’ingrosso ha una valenza di ordine edilizio e pertanto la separazione tra attività commerciale al dettaglio ed attività commerciale all’ingrosso non può che consistere in strutture  fisiche  inamovibili</w:t>
      </w:r>
    </w:p>
  </w:footnote>
  <w:footnote w:id="9">
    <w:p>
      <w:pPr>
        <w:pStyle w:val="Footnote"/>
        <w:rPr>
          <w:rFonts w:ascii="Arial" w:hAnsi="Arial"/>
          <w:sz w:val="12"/>
          <w:szCs w:val="12"/>
        </w:rPr>
      </w:pPr>
      <w:r>
        <w:rPr>
          <w:rFonts w:ascii="Arial" w:hAnsi="Arial"/>
          <w:sz w:val="12"/>
          <w:szCs w:val="12"/>
        </w:rPr>
        <w:footnoteRef/>
        <w:tab/>
        <w:t>Attività stagionale: l'attività svolta per uno o più periodi, anche frazionati, nel complesso non inferiori a sessanta giorni e non superiori a duecentoquaranta giorni per ciascun anno solare, come definiti dai Comuni con proprio regolamento</w:t>
      </w:r>
    </w:p>
  </w:footnote>
  <w:footnote w:id="10">
    <w:p>
      <w:pPr>
        <w:pStyle w:val="Footnote"/>
        <w:rPr>
          <w:rFonts w:ascii="Arial" w:hAnsi="Arial"/>
          <w:sz w:val="12"/>
          <w:szCs w:val="12"/>
        </w:rPr>
      </w:pPr>
      <w:r>
        <w:rPr>
          <w:rFonts w:ascii="Arial" w:hAnsi="Arial"/>
          <w:sz w:val="12"/>
          <w:szCs w:val="12"/>
        </w:rPr>
        <w:footnoteRef/>
        <w:tab/>
        <w:t>Attività temporanea: l'attività svolta per un periodo non superiore a cinquantanove giorni nel corso dell'anno</w:t>
      </w:r>
    </w:p>
  </w:footnote>
  <w:footnote w:id="11">
    <w:p>
      <w:pPr>
        <w:pStyle w:val="Footnote"/>
        <w:rPr>
          <w:rFonts w:ascii="Arial" w:hAnsi="Arial"/>
          <w:sz w:val="12"/>
          <w:szCs w:val="12"/>
        </w:rPr>
      </w:pPr>
      <w:r>
        <w:rPr>
          <w:rFonts w:ascii="Arial" w:hAnsi="Arial"/>
          <w:sz w:val="12"/>
          <w:szCs w:val="12"/>
        </w:rPr>
        <w:footnoteRef/>
        <w:tab/>
        <w:t>Vendita di generi del settore alimentare: la vendita di prodotti destinati alla nutrizione;</w:t>
      </w:r>
    </w:p>
    <w:p>
      <w:pPr>
        <w:pStyle w:val="Footnote"/>
        <w:rPr>
          <w:rFonts w:ascii="Arial" w:hAnsi="Arial"/>
          <w:sz w:val="12"/>
          <w:szCs w:val="12"/>
        </w:rPr>
      </w:pPr>
      <w:r>
        <w:rPr>
          <w:rFonts w:ascii="Arial" w:hAnsi="Arial"/>
          <w:sz w:val="12"/>
          <w:szCs w:val="12"/>
        </w:rPr>
        <w:tab/>
        <w:t>Vendita di generi del settore non alimentare: la vendita di ogni altro prodotto diverso da quelli di cui alla lettera c);</w:t>
      </w:r>
    </w:p>
    <w:p>
      <w:pPr>
        <w:pStyle w:val="Footnote"/>
        <w:rPr>
          <w:rFonts w:ascii="Arial" w:hAnsi="Arial"/>
          <w:sz w:val="12"/>
          <w:szCs w:val="12"/>
        </w:rPr>
      </w:pPr>
      <w:r>
        <w:rPr>
          <w:rFonts w:ascii="Arial" w:hAnsi="Arial"/>
          <w:sz w:val="12"/>
          <w:szCs w:val="12"/>
        </w:rPr>
        <w:tab/>
        <w:t>Generi non alimentari a basso impatto: i materiali dell'edilizia, ivi compresi quelli elettrici, dell'agricoltura e della zootecnia, la ferramenta, i legnami, i mobili e gli articoli di arredamento, gli elettrodomestici, i veicoli, incluse le imbarcazioni, e i prodotti a questi similari che richiedono ampie superfici di esposizione e di vendita in rapporto al numero di visitatori e acquirenti;</w:t>
      </w:r>
    </w:p>
    <w:p>
      <w:pPr>
        <w:pStyle w:val="Footnote"/>
        <w:rPr>
          <w:rFonts w:ascii="Arial" w:hAnsi="Arial"/>
          <w:sz w:val="12"/>
          <w:szCs w:val="12"/>
        </w:rPr>
      </w:pPr>
      <w:r>
        <w:rPr>
          <w:rFonts w:ascii="Arial" w:hAnsi="Arial"/>
          <w:sz w:val="12"/>
          <w:szCs w:val="12"/>
        </w:rPr>
        <w:tab/>
        <w:t>Generi speciali: i prodotti ricompresi nei settori merceologici alimentari e non, posti in vendita nelle farmacie, nelle rivendite di generi di monopolio e presso i distributori di carburante</w:t>
      </w:r>
    </w:p>
  </w:footnote>
  <w:footnote w:id="12">
    <w:p>
      <w:pPr>
        <w:pStyle w:val="Footnote"/>
        <w:rPr>
          <w:rFonts w:ascii="Arial" w:hAnsi="Arial"/>
          <w:sz w:val="12"/>
          <w:szCs w:val="12"/>
        </w:rPr>
      </w:pPr>
      <w:r>
        <w:rPr>
          <w:rFonts w:ascii="Arial" w:hAnsi="Arial"/>
          <w:sz w:val="12"/>
          <w:szCs w:val="12"/>
        </w:rPr>
        <w:footnoteRef/>
        <w:tab/>
        <w:t>Superficie di vendita di un esercizio al dettaglio: l'area alla quale ha accesso il pubblico, compresa quella occupata dai banchi, dalle scaffalature o quella comunque destinata a mostra o esposizione di merce, con esclusione dell'area destinata ai magazzini o ai depositi, ai locali di lavorazione o agli uffici e ai servizi, nonché dell'area interna adibita a deposito dei carrelli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Arial" w:hAnsi="Arial"/>
        <w:b/>
        <w:b/>
        <w:bCs/>
        <w:color w:val="999999"/>
        <w:sz w:val="16"/>
        <w:szCs w:val="16"/>
      </w:rPr>
    </w:pPr>
    <w:r>
      <w:rPr>
        <w:rFonts w:cs="Arial" w:ascii="Arial" w:hAnsi="Arial"/>
        <w:b/>
        <w:bCs/>
        <w:i w:val="false"/>
        <w:color w:val="999999"/>
        <w:sz w:val="16"/>
        <w:szCs w:val="16"/>
      </w:rPr>
      <w:t xml:space="preserve">B1 - </w:t>
    </w:r>
    <w:r>
      <w:rPr>
        <w:rFonts w:cs="Arial" w:ascii="Arial" w:hAnsi="Arial"/>
        <w:b/>
        <w:bCs/>
        <w:color w:val="999999"/>
        <w:sz w:val="16"/>
        <w:szCs w:val="16"/>
      </w:rPr>
      <w:t>Commercio in sede fissa</w:t>
    </w:r>
  </w:p>
  <w:p>
    <w:pPr>
      <w:pStyle w:val="Normal"/>
      <w:spacing w:before="0" w:after="0"/>
      <w:rPr>
        <w:rFonts w:ascii="Arial" w:hAnsi="Arial" w:cs="Arial"/>
        <w:b/>
        <w:b/>
        <w:bCs/>
        <w:color w:val="999999"/>
        <w:sz w:val="16"/>
        <w:szCs w:val="16"/>
      </w:rPr>
    </w:pPr>
    <w:r>
      <w:rPr>
        <w:rFonts w:cs="Arial" w:ascii="Arial" w:hAnsi="Arial"/>
        <w:b/>
        <w:bCs/>
        <w:color w:val="999999"/>
        <w:sz w:val="16"/>
        <w:szCs w:val="16"/>
      </w:rPr>
      <w:t>Data ultima versione del modello: 19/06/2017</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32"/>
        </w:tabs>
        <w:ind w:left="432" w:hanging="432"/>
      </w:pPr>
    </w:lvl>
    <w:lvl w:ilvl="1">
      <w:start w:val="1"/>
      <w:pStyle w:val="Heading2"/>
      <w:numFmt w:val="none"/>
      <w:suff w:val="nothing"/>
      <w:lvlText w:val=""/>
      <w:lvlJc w:val="left"/>
      <w:pPr>
        <w:tabs>
          <w:tab w:val="num" w:pos="576"/>
        </w:tabs>
        <w:ind w:left="576" w:hanging="576"/>
      </w:pPr>
    </w:lvl>
    <w:lvl w:ilvl="2">
      <w:start w:val="1"/>
      <w:pStyle w:val="Heading3"/>
      <w:numFmt w:val="none"/>
      <w:suff w:val="nothing"/>
      <w:lvlText w:val=""/>
      <w:lvlJc w:val="left"/>
      <w:pPr>
        <w:tabs>
          <w:tab w:val="num" w:pos="720"/>
        </w:tabs>
        <w:ind w:left="720" w:hanging="720"/>
      </w:pPr>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pStyle w:val="Heading7"/>
      <w:numFmt w:val="none"/>
      <w:suff w:val="nothing"/>
      <w:lvlText w:val=""/>
      <w:lvlJc w:val="left"/>
      <w:pPr>
        <w:tabs>
          <w:tab w:val="num" w:pos="1296"/>
        </w:tabs>
        <w:ind w:left="1296" w:hanging="1296"/>
      </w:pPr>
    </w:lvl>
    <w:lvl w:ilvl="7">
      <w:start w:val="1"/>
      <w:pStyle w:val="Heading8"/>
      <w:numFmt w:val="none"/>
      <w:suff w:val="nothing"/>
      <w:lvlText w:val=""/>
      <w:lvlJc w:val="left"/>
      <w:pPr>
        <w:tabs>
          <w:tab w:val="num" w:pos="1440"/>
        </w:tabs>
        <w:ind w:left="1440" w:hanging="1440"/>
      </w:pPr>
    </w:lvl>
    <w:lvl w:ilvl="8">
      <w:start w:val="1"/>
      <w:pStyle w:val="Heading9"/>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50"/>
  <w:defaultTabStop w:val="709"/>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sz w:val="24"/>
        <w:szCs w:val="24"/>
        <w:lang w:val="it-IT"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Mangal"/>
      <w:color w:val="auto"/>
      <w:sz w:val="24"/>
      <w:szCs w:val="24"/>
      <w:lang w:val="it-IT" w:eastAsia="zh-CN" w:bidi="hi-IN"/>
    </w:rPr>
  </w:style>
  <w:style w:type="paragraph" w:styleId="Heading1">
    <w:name w:val="Heading 1"/>
    <w:basedOn w:val="Heading"/>
    <w:next w:val="TextBody"/>
    <w:qFormat/>
    <w:pPr>
      <w:numPr>
        <w:ilvl w:val="0"/>
        <w:numId w:val="1"/>
      </w:numPr>
      <w:outlineLvl w:val="0"/>
    </w:pPr>
    <w:rPr>
      <w:b/>
      <w:bCs/>
      <w:color w:val="FF3333"/>
      <w:sz w:val="32"/>
      <w:szCs w:val="32"/>
    </w:rPr>
  </w:style>
  <w:style w:type="paragraph" w:styleId="Heading2">
    <w:name w:val="Heading 2"/>
    <w:basedOn w:val="Heading"/>
    <w:next w:val="TextBody"/>
    <w:qFormat/>
    <w:pPr>
      <w:numPr>
        <w:ilvl w:val="1"/>
        <w:numId w:val="1"/>
      </w:numPr>
      <w:outlineLvl w:val="1"/>
    </w:pPr>
    <w:rPr>
      <w:b/>
      <w:bCs/>
      <w:i/>
      <w:iCs/>
      <w:sz w:val="22"/>
      <w:szCs w:val="28"/>
    </w:rPr>
  </w:style>
  <w:style w:type="paragraph" w:styleId="Heading3">
    <w:name w:val="Heading 3"/>
    <w:basedOn w:val="Heading"/>
    <w:next w:val="TextBody"/>
    <w:qFormat/>
    <w:pPr>
      <w:numPr>
        <w:ilvl w:val="2"/>
        <w:numId w:val="1"/>
      </w:numPr>
      <w:spacing w:before="0" w:after="0"/>
      <w:ind w:left="0" w:right="0" w:hanging="0"/>
      <w:textAlignment w:val="center"/>
      <w:outlineLvl w:val="2"/>
    </w:pPr>
    <w:rPr>
      <w:b w:val="false"/>
      <w:bCs/>
      <w:sz w:val="18"/>
      <w:szCs w:val="28"/>
    </w:rPr>
  </w:style>
  <w:style w:type="paragraph" w:styleId="Heading7">
    <w:name w:val="Heading 7"/>
    <w:basedOn w:val="Normal"/>
    <w:next w:val="Normal"/>
    <w:qFormat/>
    <w:pPr>
      <w:keepNext w:val="true"/>
      <w:numPr>
        <w:ilvl w:val="6"/>
        <w:numId w:val="1"/>
      </w:numPr>
      <w:tabs>
        <w:tab w:val="left" w:pos="1980" w:leader="none"/>
      </w:tabs>
      <w:spacing w:before="0" w:after="0"/>
      <w:ind w:left="0" w:right="0" w:hanging="0"/>
      <w:jc w:val="center"/>
      <w:outlineLvl w:val="6"/>
    </w:pPr>
    <w:rPr>
      <w:i/>
      <w:iCs/>
      <w:sz w:val="20"/>
    </w:rPr>
  </w:style>
  <w:style w:type="paragraph" w:styleId="Heading8">
    <w:name w:val="Heading 8"/>
    <w:basedOn w:val="Heading"/>
    <w:next w:val="TextBody"/>
    <w:qFormat/>
    <w:pPr>
      <w:numPr>
        <w:ilvl w:val="7"/>
        <w:numId w:val="1"/>
      </w:numPr>
      <w:outlineLvl w:val="7"/>
    </w:pPr>
    <w:rPr>
      <w:b/>
      <w:bCs/>
      <w:sz w:val="21"/>
      <w:szCs w:val="21"/>
    </w:rPr>
  </w:style>
  <w:style w:type="paragraph" w:styleId="Heading9">
    <w:name w:val="Heading 9"/>
    <w:basedOn w:val="Heading"/>
    <w:next w:val="TextBody"/>
    <w:qFormat/>
    <w:pPr>
      <w:numPr>
        <w:ilvl w:val="8"/>
        <w:numId w:val="1"/>
      </w:numPr>
      <w:outlineLvl w:val="8"/>
    </w:pPr>
    <w:rPr>
      <w:b/>
      <w:bCs/>
      <w:sz w:val="21"/>
      <w:szCs w:val="21"/>
    </w:rPr>
  </w:style>
  <w:style w:type="character" w:styleId="NumberingSymbols">
    <w:name w:val="Numbering Symbols"/>
    <w:qFormat/>
    <w:rPr/>
  </w:style>
  <w:style w:type="character" w:styleId="WW8Num3z0">
    <w:name w:val="WW8Num3z0"/>
    <w:qFormat/>
    <w:rPr>
      <w:rFonts w:ascii="Symbol" w:hAnsi="Symbol"/>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Arial" w:hAnsi="Arial" w:eastAsia="Arial Unicode MS" w:cs="Tahoma"/>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TableContents">
    <w:name w:val="Table Contents"/>
    <w:basedOn w:val="Normal"/>
    <w:qFormat/>
    <w:pPr>
      <w:suppressLineNumbers/>
    </w:pPr>
    <w:rPr>
      <w:rFonts w:ascii="Arial" w:hAnsi="Arial"/>
      <w:sz w:val="20"/>
    </w:rPr>
  </w:style>
  <w:style w:type="paragraph" w:styleId="TableHeading">
    <w:name w:val="Table Heading"/>
    <w:basedOn w:val="TableContents"/>
    <w:qFormat/>
    <w:pPr>
      <w:suppressLineNumbers/>
      <w:jc w:val="center"/>
    </w:pPr>
    <w:rPr>
      <w:b/>
      <w:bCs/>
    </w:rPr>
  </w:style>
  <w:style w:type="paragraph" w:styleId="Heading10">
    <w:name w:val="Heading 10"/>
    <w:basedOn w:val="Heading"/>
    <w:next w:val="TextBody"/>
    <w:qFormat/>
    <w:pPr>
      <w:numPr>
        <w:ilvl w:val="8"/>
        <w:numId w:val="1"/>
      </w:numPr>
      <w:outlineLvl w:val="8"/>
    </w:pPr>
    <w:rPr>
      <w:b/>
      <w:bCs/>
      <w:sz w:val="21"/>
      <w:szCs w:val="21"/>
    </w:rPr>
  </w:style>
  <w:style w:type="paragraph" w:styleId="Footer">
    <w:name w:val="Footer"/>
    <w:basedOn w:val="Normal"/>
    <w:pPr>
      <w:suppressLineNumbers/>
      <w:tabs>
        <w:tab w:val="center" w:pos="4819" w:leader="none"/>
        <w:tab w:val="right" w:pos="9638" w:leader="none"/>
      </w:tabs>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Footnote">
    <w:name w:val="Footnote Text"/>
    <w:basedOn w:val="Normal"/>
    <w:pPr>
      <w:suppressLineNumbers/>
      <w:ind w:left="283" w:right="0" w:hanging="283"/>
    </w:pPr>
    <w:rPr>
      <w:sz w:val="20"/>
      <w:szCs w:val="20"/>
    </w:rPr>
  </w:style>
  <w:style w:type="paragraph" w:styleId="Header">
    <w:name w:val="Header"/>
    <w:basedOn w:val="Normal"/>
    <w:pPr>
      <w:suppressLineNumbers/>
      <w:tabs>
        <w:tab w:val="center" w:pos="4819" w:leader="none"/>
        <w:tab w:val="right" w:pos="9638" w:leader="none"/>
      </w:tabs>
    </w:pPr>
    <w:rPr/>
  </w:style>
  <w:style w:type="numbering" w:styleId="Numbering1">
    <w:name w:val="Numbering 1"/>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3604</TotalTime>
  <Application>LibreOffice/5.3.6.1$Linux_X86_64 LibreOffice_project/30$Build-1</Application>
  <Pages>6</Pages>
  <Words>2797</Words>
  <CharactersWithSpaces>18894</CharactersWithSpaces>
  <Paragraphs>188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2012-11-28T09:45:51Z</dcterms:created>
  <dc:creator>Livio Metton</dc:creator>
  <dc:description>Versione 1.0</dc:description>
  <dc:language>en-US</dc:language>
  <cp:lastModifiedBy/>
  <cp:lastPrinted>2016-08-10T12:02:09Z</cp:lastPrinted>
  <dcterms:modified xsi:type="dcterms:W3CDTF">2017-06-12T15:46:28Z</dcterms:modified>
  <cp:revision>386</cp:revision>
  <dc:subject/>
  <dc:title/>
</cp:coreProperties>
</file>