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13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4806"/>
        <w:gridCol w:w="4807"/>
      </w:tblGrid>
      <w:tr>
        <w:trPr>
          <w:trHeight w:val="255" w:hRule="atLeast"/>
        </w:trPr>
        <w:tc>
          <w:tcPr>
            <w:tcW w:w="4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REGIME DI AVVIO:</w:t>
            </w:r>
          </w:p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8"/>
                <w:szCs w:val="18"/>
              </w:rPr>
              <w:t xml:space="preserve">Segnalazione Certificata di Inizio Attività </w:t>
            </w:r>
            <w:r>
              <w:rPr>
                <w:rStyle w:val="Carpredefinitoparagrafo"/>
                <w:rFonts w:cs="Arial" w:ascii="Arial" w:hAnsi="Arial"/>
                <w:sz w:val="18"/>
                <w:szCs w:val="18"/>
              </w:rPr>
              <w:t>ex L.R. 29/05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Art. 21 per spacci interni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Art. 22 per apparecchi automatici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Art. 23 per vendita per corrispondenza, TV e altri sistemi di comunicazione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Art. 24 per vendita diretta presso il domicilio dei consumatori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Art. 27 per commercio elettronico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informazioni e i dati corrispondono a quelli previsti nella modulistica unificata e standardizzata, approvata dalla Conferenza Unificata  in data 4 maggio 2017 e in data 22 febbraio 2018.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</w:tc>
      </w:tr>
      <w:tr>
        <w:trPr>
          <w:trHeight w:val="255" w:hRule="atLeast"/>
        </w:trPr>
        <w:tc>
          <w:tcPr>
            <w:tcW w:w="48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right"/>
              <w:rPr/>
            </w:pP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Questo modulo 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  <w:u w:val="single"/>
              </w:rPr>
              <w:t>DEVE ESSERE compilato</w:t>
            </w:r>
            <w:r>
              <w:rPr>
                <w:rStyle w:val="Carpredefinitoparagrafo"/>
                <w:rFonts w:ascii="Arial" w:hAnsi="Arial"/>
                <w:b/>
                <w:bCs/>
                <w:color w:val="0000FF"/>
                <w:sz w:val="12"/>
                <w:szCs w:val="12"/>
              </w:rPr>
              <w:t xml:space="preserve"> con OpenOffice o Libre Office</w:t>
            </w:r>
          </w:p>
        </w:tc>
      </w:tr>
      <w:tr>
        <w:trPr>
          <w:trHeight w:val="510" w:hRule="atLeas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1"/>
              <w:numPr>
                <w:ilvl w:val="0"/>
                <w:numId w:val="1"/>
              </w:numPr>
              <w:spacing w:before="240" w:after="120"/>
              <w:rPr/>
            </w:pPr>
            <w:r>
              <w:rPr/>
              <w:t>1. Dati generali dell'intervento</w:t>
            </w:r>
          </w:p>
        </w:tc>
      </w:tr>
      <w:tr>
        <w:trPr>
          <w:trHeight w:val="454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62" w:after="62"/>
              <w:ind w:left="0" w:hanging="0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1.1 </w:t>
            </w:r>
            <w:r>
              <w:rPr>
                <w:rStyle w:val="Carpredefinitoparagrafo"/>
                <w:rFonts w:cs="Arial"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Numero della domanda</w:t>
            </w:r>
          </w:p>
        </w:tc>
      </w:tr>
      <w:tr>
        <w:trPr>
          <w:trHeight w:val="515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textAlignment w:val="center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1.2 </w:t>
            </w:r>
            <w:r>
              <w:rPr>
                <w:rStyle w:val="Carpredefinitoparagrafo"/>
                <w:rFonts w:cs="Arial"/>
                <w:i w:val="false"/>
                <w:iCs w:val="false"/>
                <w:color w:val="0000FF"/>
                <w:sz w:val="20"/>
                <w:szCs w:val="20"/>
              </w:rPr>
              <w:t>–</w:t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 Titolare dell'esercizio</w:t>
            </w:r>
          </w:p>
        </w:tc>
      </w:tr>
      <w:tr>
        <w:trPr>
          <w:trHeight w:val="415" w:hRule="exact"/>
        </w:trPr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0"/>
              <w:ind w:left="0" w:hanging="0"/>
              <w:textAlignment w:val="center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 xml:space="preserve">1.3 </w:t>
            </w:r>
            <w:r>
              <w:rPr>
                <w:rStyle w:val="Carpredefinitoparagrafo"/>
                <w:rFonts w:cs="Arial"/>
                <w:i w:val="false"/>
                <w:iCs w:val="false"/>
                <w:color w:val="0000FF"/>
                <w:sz w:val="20"/>
                <w:szCs w:val="20"/>
              </w:rPr>
              <w:t xml:space="preserve">– </w:t>
            </w: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Indirizzo dell'esercizio</w:t>
            </w:r>
          </w:p>
        </w:tc>
      </w:tr>
      <w:tr>
        <w:trPr>
          <w:trHeight w:val="751" w:hRule="exact"/>
        </w:trPr>
        <w:tc>
          <w:tcPr>
            <w:tcW w:w="9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ind w:left="397" w:hanging="0"/>
              <w:textAlignment w:val="bottom"/>
              <w:rPr/>
            </w:pPr>
            <w:r>
              <w:rPr>
                <w:rStyle w:val="Carpredefinitoparagrafo"/>
                <w:b/>
                <w:bCs/>
                <w:color w:val="000000"/>
                <w:sz w:val="28"/>
                <w:szCs w:val="28"/>
              </w:rPr>
              <w:t>/</w:t>
            </w:r>
          </w:p>
          <w:p>
            <w:pPr>
              <w:pStyle w:val="Normal"/>
              <w:ind w:left="397" w:hanging="0"/>
              <w:textAlignment w:val="bottom"/>
              <w:rPr/>
            </w:pPr>
            <w:r>
              <w:rPr/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720" w:top="1134" w:footer="720" w:bottom="1134" w:gutter="0"/>
          <w:pgNumType w:fmt="decimal"/>
          <w:formProt w:val="false"/>
          <w:textDirection w:val="lrTb"/>
        </w:sectPr>
      </w:pP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682"/>
        <w:gridCol w:w="7956"/>
      </w:tblGrid>
      <w:tr>
        <w:trPr>
          <w:trHeight w:val="454" w:hRule="atLeast"/>
          <w:cantSplit w:val="true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color w:val="FF0000"/>
                <w:sz w:val="32"/>
                <w:szCs w:val="32"/>
              </w:rPr>
            </w:pPr>
            <w:r>
              <w:rPr>
                <w:rFonts w:cs="Arial" w:ascii="Arial" w:hAnsi="Arial"/>
                <w:b/>
                <w:color w:val="FF0000"/>
                <w:sz w:val="32"/>
                <w:szCs w:val="32"/>
              </w:rPr>
              <w:t>2. Specifiche relative all’attività</w:t>
            </w:r>
          </w:p>
        </w:tc>
      </w:tr>
      <w:tr>
        <w:trPr>
          <w:trHeight w:val="397" w:hRule="atLeast"/>
          <w:cantSplit w:val="true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b/>
                <w:color w:val="0000FF"/>
                <w:sz w:val="20"/>
                <w:szCs w:val="20"/>
              </w:rPr>
              <w:t xml:space="preserve">2.1 – </w:t>
            </w:r>
            <w:r>
              <w:rPr>
                <w:rStyle w:val="Carpredefinitoparagrafo"/>
                <w:rFonts w:eastAsia="Arial Unicode MS" w:cs="Tahoma" w:ascii="Arial" w:hAnsi="Arial"/>
                <w:b/>
                <w:color w:val="0000FF"/>
                <w:sz w:val="20"/>
                <w:szCs w:val="20"/>
              </w:rPr>
              <w:t>Avvio di esercizio commerciale</w:t>
            </w:r>
          </w:p>
        </w:tc>
      </w:tr>
      <w:tr>
        <w:trPr>
          <w:trHeight w:val="569" w:hRule="atLeast"/>
          <w:cantSplit w:val="true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Spacci interni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2"/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Denominazione dell'Ente, o Associazione o impresa, etc.</w:t>
            </w:r>
          </w:p>
        </w:tc>
      </w:tr>
      <w:tr>
        <w:trPr>
          <w:trHeight w:val="3750" w:hRule="atLeast"/>
          <w:cantSplit w:val="true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Vendita mediante apparecchi automatici in altri esercizi commerciali già abilitati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3"/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 xml:space="preserve"> o in altre strutture e/o su area pubblica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4"/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Style w:val="Carpredefinitoparagrafo"/>
                <w:rFonts w:cs="Arial" w:ascii="Arial" w:hAnsi="Arial"/>
                <w:i/>
                <w:iCs/>
                <w:sz w:val="14"/>
                <w:szCs w:val="14"/>
              </w:rPr>
              <w:t>(</w:t>
            </w:r>
            <w:r>
              <w:rPr>
                <w:rStyle w:val="StrongEmphasis"/>
                <w:rFonts w:cs="Arial" w:ascii="Arial" w:hAnsi="Arial"/>
                <w:b w:val="false"/>
                <w:bCs w:val="false"/>
                <w:i/>
                <w:iCs/>
                <w:sz w:val="14"/>
                <w:szCs w:val="14"/>
              </w:rPr>
              <w:t>L'avvio della vendita mediante apparecchi automatici è soggetta a segnalazione certificata di inizio di attività (SCIA). Le successive installazioni/disinstallazioni di apparecchi automatici che distribuiscono prodotti alimentari sono soggette a comunicazione annuale (entro il 31 gennaio di ogni anno</w:t>
            </w:r>
            <w:r>
              <w:rPr>
                <w:rStyle w:val="StrongEmphasis"/>
                <w:rFonts w:cs="Arial" w:ascii="Arial" w:hAnsi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Style w:val="StrongEmphasis"/>
                <w:rFonts w:cs="Arial" w:ascii="Arial" w:hAnsi="Arial"/>
                <w:b w:val="false"/>
                <w:bCs w:val="false"/>
                <w:i/>
                <w:iCs/>
                <w:sz w:val="14"/>
                <w:szCs w:val="14"/>
              </w:rPr>
              <w:t>(*)</w:t>
            </w:r>
            <w:r>
              <w:rPr>
                <w:rStyle w:val="Carpredefinitoparagrafo"/>
                <w:rFonts w:cs="Arial" w:ascii="Arial" w:hAnsi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distributori sono installati presso la seguente/le seguenti attività:</w:t>
            </w:r>
          </w:p>
          <w:p>
            <w:pPr>
              <w:pStyle w:val="Normal"/>
              <w:snapToGrid w:val="false"/>
              <w:spacing w:before="6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tbl>
            <w:tblPr>
              <w:tblW w:w="782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666"/>
              <w:gridCol w:w="2642"/>
              <w:gridCol w:w="2520"/>
            </w:tblGrid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0"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nominativo/denominazione</w:t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0"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ubicazione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0"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quantità</w:t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  <w:tr>
              <w:trPr/>
              <w:tc>
                <w:tcPr>
                  <w:tcW w:w="26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spacing w:before="62" w:after="57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e"/>
              <w:rPr/>
            </w:pPr>
            <w:r>
              <w:rPr/>
            </w:r>
          </w:p>
        </w:tc>
      </w:tr>
      <w:tr>
        <w:trPr>
          <w:trHeight w:val="384" w:hRule="atLeast"/>
          <w:cantSplit w:val="true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Vendita per corrispondenza</w:t>
            </w:r>
          </w:p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Vendita per radio o televisione</w:t>
            </w:r>
          </w:p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 xml:space="preserve">Commercio elettronico (indirizzo sito/dei siti web):       </w:t>
            </w:r>
          </w:p>
          <w:p>
            <w:pPr>
              <w:pStyle w:val="Normal"/>
              <w:snapToGrid w:val="false"/>
              <w:spacing w:before="57" w:after="57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Altri sistemi di comunicazione</w:t>
            </w:r>
          </w:p>
        </w:tc>
      </w:tr>
      <w:tr>
        <w:trPr>
          <w:trHeight w:val="384" w:hRule="atLeast"/>
          <w:cantSplit w:val="true"/>
        </w:trPr>
        <w:tc>
          <w:tcPr>
            <w:tcW w:w="96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presso il domicilio dei consumatori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963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397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b/>
                <w:color w:val="0000FF"/>
                <w:sz w:val="20"/>
                <w:szCs w:val="20"/>
              </w:rPr>
              <w:t>2.2 – Settori merceologici e superfici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9656" w:type="dxa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616"/>
        <w:gridCol w:w="280"/>
        <w:gridCol w:w="976"/>
        <w:gridCol w:w="2496"/>
        <w:gridCol w:w="2288"/>
      </w:tblGrid>
      <w:tr>
        <w:trPr>
          <w:trHeight w:val="448" w:hRule="exact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Alimentare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keepNext w:val="true"/>
              <w:snapToGrid w:val="false"/>
              <w:spacing w:before="57" w:after="57"/>
              <w:ind w:left="57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 superfici si indicano solo per gli spacci interni</w:t>
            </w:r>
          </w:p>
        </w:tc>
      </w:tr>
      <w:tr>
        <w:trPr>
          <w:trHeight w:val="380" w:hRule="atLeast"/>
        </w:trPr>
        <w:tc>
          <w:tcPr>
            <w:tcW w:w="389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b w:val="false"/>
                <w:bCs w:val="false"/>
                <w:sz w:val="16"/>
                <w:szCs w:val="16"/>
              </w:rPr>
              <w:t>Non alimentare</w:t>
            </w:r>
          </w:p>
        </w:tc>
        <w:tc>
          <w:tcPr>
            <w:tcW w:w="347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3"/>
              <w:numPr>
                <w:ilvl w:val="2"/>
                <w:numId w:val="1"/>
              </w:numPr>
              <w:tabs>
                <w:tab w:val="left" w:pos="0" w:leader="none"/>
              </w:tabs>
              <w:ind w:left="57" w:hanging="0"/>
              <w:rPr/>
            </w:pPr>
            <w:r>
              <w:rPr>
                <w:rStyle w:val="Carpredefinitoparagrafo"/>
                <w:b w:val="false"/>
                <w:bCs w:val="false"/>
                <w:sz w:val="16"/>
                <w:szCs w:val="16"/>
              </w:rPr>
              <w:t xml:space="preserve">superficie di vendita m </w:t>
            </w:r>
            <w:r>
              <w:rPr>
                <w:rStyle w:val="Carpredefinitoparagrafo"/>
                <w:b w:val="false"/>
                <w:bCs w:val="false"/>
                <w:position w:val="16"/>
                <w:sz w:val="10"/>
                <w:sz w:val="16"/>
                <w:szCs w:val="16"/>
              </w:rPr>
              <w:t>2</w:t>
            </w:r>
          </w:p>
        </w:tc>
        <w:tc>
          <w:tcPr>
            <w:tcW w:w="22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26" w:hRule="exact"/>
        </w:trPr>
        <w:tc>
          <w:tcPr>
            <w:tcW w:w="96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/>
            </w:pPr>
            <w:r>
              <w:rPr>
                <w:rStyle w:val="Carpredefinitoparagrafo"/>
                <w:i w:val="false"/>
                <w:iCs w:val="false"/>
                <w:color w:val="0000FF"/>
                <w:sz w:val="20"/>
                <w:szCs w:val="20"/>
              </w:rPr>
              <w:t>2.3 Modalità di vendita</w:t>
            </w:r>
            <w:r>
              <w:rPr>
                <w:rStyle w:val="Carpredefinitoparagrafo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 (le modalità di vendita si indicano solo </w:t>
            </w:r>
            <w:r>
              <w:rPr>
                <w:rStyle w:val="Carpredefinitoparagrafo"/>
                <w:rFonts w:cs="Arial"/>
                <w:b w:val="false"/>
                <w:bCs w:val="false"/>
                <w:i w:val="false"/>
                <w:iCs w:val="false"/>
                <w:sz w:val="16"/>
                <w:szCs w:val="16"/>
              </w:rPr>
              <w:t>per vendita per corrispondenza o altri sistemi di comunicazione)</w:t>
            </w:r>
          </w:p>
        </w:tc>
      </w:tr>
      <w:tr>
        <w:trPr>
          <w:trHeight w:val="448" w:hRule="exact"/>
        </w:trPr>
        <w:tc>
          <w:tcPr>
            <w:tcW w:w="96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al dettaglio</w:t>
            </w:r>
          </w:p>
        </w:tc>
      </w:tr>
      <w:tr>
        <w:trPr>
          <w:trHeight w:val="520" w:hRule="exact"/>
        </w:trPr>
        <w:tc>
          <w:tcPr>
            <w:tcW w:w="96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Style w:val="Carpredefinitoparagrafo"/>
                <w:rFonts w:ascii="Arial" w:hAnsi="Arial"/>
                <w:sz w:val="16"/>
                <w:szCs w:val="16"/>
              </w:rPr>
              <w:t>Vendita congiunta al dettaglio e all'ingrosso</w:t>
            </w:r>
          </w:p>
        </w:tc>
      </w:tr>
      <w:tr>
        <w:trPr>
          <w:trHeight w:val="520" w:hRule="exact"/>
        </w:trPr>
        <w:tc>
          <w:tcPr>
            <w:tcW w:w="96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i w:val="false"/>
                <w:iCs w:val="false"/>
                <w:color w:val="0000FF"/>
                <w:sz w:val="20"/>
                <w:szCs w:val="20"/>
              </w:rPr>
              <w:t>2.4 Comunicazione dell’elenco degli incaricati alla vendita presso il domicilio dei consumatori</w:t>
            </w:r>
          </w:p>
        </w:tc>
      </w:tr>
      <w:tr>
        <w:trPr>
          <w:trHeight w:val="1008" w:hRule="exact"/>
        </w:trPr>
        <w:tc>
          <w:tcPr>
            <w:tcW w:w="965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57" w:after="57"/>
              <w:ind w:left="57" w:hanging="0"/>
              <w:rPr/>
            </w:pPr>
            <w:r>
              <w:rPr>
                <w:rStyle w:val="Carpredefinitoparagrafo"/>
                <w:rFonts w:eastAsia="Arial Unicode MS" w:cs="Tahoma" w:ascii="Arial" w:hAnsi="Arial"/>
                <w:sz w:val="16"/>
                <w:szCs w:val="16"/>
              </w:rPr>
              <w:t>Incaricati alla vendita (I campi sono ripetibili in base al numero di incaricati alla vendita)</w:t>
            </w:r>
          </w:p>
          <w:p>
            <w:pPr>
              <w:pStyle w:val="Normal"/>
              <w:snapToGrid w:val="false"/>
              <w:spacing w:before="0" w:after="57"/>
              <w:ind w:left="104" w:right="112" w:hanging="0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color w:val="0000FF"/>
                <w:sz w:val="14"/>
                <w:szCs w:val="14"/>
              </w:rPr>
              <w:t xml:space="preserve">NOTE DI COMPILAZIONE: entrando in modalità editazione, è sempre possibile  ampliare un campo di edit; l'editazione viene attivata cliccando sull'icona  </w:t>
            </w:r>
            <w:r>
              <w:rPr>
                <w:rStyle w:val="Carpredefinitoparagrafo"/>
                <w:rFonts w:eastAsia="Arial Unicode MS" w:cs="Tahoma" w:ascii="Arial" w:hAnsi="Arial"/>
                <w:b/>
                <w:bCs/>
                <w:color w:val="0000FF"/>
                <w:sz w:val="14"/>
                <w:szCs w:val="14"/>
              </w:rPr>
              <w:t xml:space="preserve"> "Modo bozza on/off" che si trova nella barra di accesso rapido, “visualizza” - “barre degli strumenti” - "controlli per formulario"</w:t>
            </w:r>
          </w:p>
        </w:tc>
      </w:tr>
      <w:tr>
        <w:trPr>
          <w:trHeight w:val="576" w:hRule="exact"/>
        </w:trPr>
        <w:tc>
          <w:tcPr>
            <w:tcW w:w="361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Cognome e Nome</w:t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z w:val="16"/>
                <w:szCs w:val="16"/>
              </w:rPr>
              <w:t>Data di nascita (gg/mm/aaaa)</w:t>
            </w:r>
          </w:p>
        </w:tc>
        <w:tc>
          <w:tcPr>
            <w:tcW w:w="4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/>
            </w:pPr>
            <w:r>
              <w:rPr>
                <w:rStyle w:val="Carpredefinitoparagrafo"/>
                <w:b w:val="false"/>
                <w:bCs w:val="false"/>
                <w:i w:val="false"/>
                <w:iCs w:val="false"/>
                <w:sz w:val="16"/>
                <w:szCs w:val="16"/>
              </w:rPr>
              <w:t>Comune di nascita</w:t>
            </w:r>
            <w:r>
              <w:rPr>
                <w:rStyle w:val="Rimandonotaapidipagina"/>
                <w:rStyle w:val="Rimandonotaapidipagina"/>
                <w:b w:val="false"/>
                <w:bCs w:val="false"/>
                <w:i w:val="false"/>
                <w:iCs w:val="false"/>
                <w:sz w:val="16"/>
                <w:szCs w:val="16"/>
              </w:rPr>
              <w:footnoteReference w:id="5"/>
            </w:r>
            <w:r>
              <w:rPr>
                <w:rStyle w:val="Carpredefinitoparagrafo"/>
                <w:b w:val="false"/>
                <w:bCs w:val="false"/>
                <w:i w:val="false"/>
                <w:iCs w:val="false"/>
                <w:sz w:val="16"/>
                <w:szCs w:val="16"/>
              </w:rPr>
              <w:t xml:space="preserve"> e Provincia di nascita</w:t>
            </w:r>
          </w:p>
        </w:tc>
      </w:tr>
      <w:tr>
        <w:trPr/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361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5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47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103" w:type="dxa"/>
              <w:bottom w:w="0" w:type="dxa"/>
              <w:right w:w="108" w:type="dxa"/>
            </w:tcMar>
          </w:tcPr>
          <w:p>
            <w:pPr>
              <w:pStyle w:val="Normal"/>
              <w:snapToGrid w:val="false"/>
              <w:spacing w:before="62" w:after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45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799"/>
        <w:gridCol w:w="23"/>
        <w:gridCol w:w="4823"/>
      </w:tblGrid>
      <w:tr>
        <w:trPr>
          <w:trHeight w:val="400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keepNext w:val="true"/>
              <w:snapToGrid w:val="false"/>
              <w:spacing w:before="68" w:after="6"/>
              <w:rPr>
                <w:rFonts w:ascii="Arial" w:hAnsi="Arial" w:eastAsia="Arial Unicode MS" w:cs="Tahoma"/>
                <w:b/>
                <w:b/>
                <w:color w:val="0000FF"/>
                <w:sz w:val="20"/>
                <w:szCs w:val="20"/>
              </w:rPr>
            </w:pPr>
            <w:r>
              <w:rPr>
                <w:rFonts w:eastAsia="Arial Unicode MS" w:cs="Tahoma" w:ascii="Arial" w:hAnsi="Arial"/>
                <w:b/>
                <w:color w:val="0000FF"/>
                <w:sz w:val="20"/>
                <w:szCs w:val="20"/>
              </w:rPr>
              <w:t>Dichiarazioni generali ai sensi e per gli effetti degli art. 46 e 47 del D.P.R. 445/2000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IL SOTTOSCRITTO/LA SOTTOSCRITTA</w:t>
            </w:r>
          </w:p>
        </w:tc>
      </w:tr>
      <w:tr>
        <w:trPr>
          <w:trHeight w:val="397" w:hRule="atLeast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Nome</w:t>
            </w:r>
          </w:p>
        </w:tc>
      </w:tr>
      <w:tr>
        <w:trPr>
          <w:trHeight w:val="397" w:hRule="atLeast"/>
        </w:trPr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Data di nascita</w:t>
            </w:r>
          </w:p>
        </w:tc>
        <w:tc>
          <w:tcPr>
            <w:tcW w:w="4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Codice Fiscale</w:t>
            </w:r>
          </w:p>
        </w:tc>
      </w:tr>
      <w:tr>
        <w:trPr>
          <w:trHeight w:val="397" w:hRule="atLeast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Luogo nascita</w:t>
            </w:r>
          </w:p>
        </w:tc>
      </w:tr>
      <w:tr>
        <w:trPr>
          <w:trHeight w:val="397" w:hRule="atLeast"/>
        </w:trPr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Comune: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Provincia:</w:t>
            </w:r>
          </w:p>
        </w:tc>
      </w:tr>
      <w:tr>
        <w:trPr>
          <w:trHeight w:val="450" w:hRule="atLeast"/>
        </w:trPr>
        <w:tc>
          <w:tcPr>
            <w:tcW w:w="4822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Città estera:</w:t>
            </w: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Stato:</w:t>
            </w:r>
          </w:p>
        </w:tc>
      </w:tr>
      <w:tr>
        <w:trPr>
          <w:trHeight w:val="527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  <w:tr>
        <w:trPr>
          <w:trHeight w:val="236" w:hRule="atLeast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DICHIARA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38"/>
      </w:tblGrid>
      <w:tr>
        <w:trPr>
          <w:trHeight w:val="2352" w:hRule="atLeast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commercio in spacci interni:</w:t>
            </w:r>
          </w:p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vendita è effettuata esclusivamente a favore di:</w:t>
            </w:r>
          </w:p>
          <w:p>
            <w:pPr>
              <w:pStyle w:val="Normal"/>
              <w:snapToGrid w:val="false"/>
              <w:ind w:firstLine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dipendenti</w:t>
            </w:r>
          </w:p>
          <w:p>
            <w:pPr>
              <w:pStyle w:val="Normal"/>
              <w:snapToGrid w:val="false"/>
              <w:ind w:firstLine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militari</w:t>
            </w:r>
          </w:p>
          <w:p>
            <w:pPr>
              <w:pStyle w:val="Normal"/>
              <w:snapToGrid w:val="false"/>
              <w:ind w:firstLine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soci</w:t>
            </w:r>
          </w:p>
          <w:p>
            <w:pPr>
              <w:pStyle w:val="Normal"/>
              <w:snapToGrid w:val="false"/>
              <w:ind w:firstLine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coloro che hanno titolo ad accedervi all’interno di scuole</w:t>
            </w:r>
          </w:p>
          <w:p>
            <w:pPr>
              <w:pStyle w:val="Normal"/>
              <w:snapToGrid w:val="false"/>
              <w:ind w:firstLine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coloro che hanno titolo ad accedervi all’interno di ospedali</w:t>
            </w:r>
          </w:p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eastAsia="Arial Unicode MS" w:cs="Tahoma" w:ascii="Arial" w:hAnsi="Arial"/>
                <w:b/>
                <w:bCs/>
                <w:sz w:val="16"/>
                <w:szCs w:val="16"/>
              </w:rPr>
              <w:t xml:space="preserve">(*)  </w:t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il preposto:</w:t>
            </w:r>
          </w:p>
          <w:p>
            <w:pPr>
              <w:pStyle w:val="Normal"/>
              <w:snapToGrid w:val="false"/>
              <w:ind w:left="170" w:hanging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coincide con il titolare o con il legale rappresentante</w:t>
            </w:r>
          </w:p>
          <w:p>
            <w:pPr>
              <w:pStyle w:val="Normal"/>
              <w:snapToGrid w:val="false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è un soggetto terzo, che ha accettato la designazione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relativamente ai locali di esercizio, di aver rispettato:</w:t>
            </w:r>
          </w:p>
          <w:p>
            <w:pPr>
              <w:pStyle w:val="Normal"/>
              <w:snapToGrid w:val="false"/>
              <w:spacing w:before="57" w:after="57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di polizia urbana e annonaria, di igiene e sanità, edilizi, le norme urbanistiche e quelle relative alla destinazione d’uso</w:t>
            </w:r>
          </w:p>
        </w:tc>
      </w:tr>
      <w:tr>
        <w:trPr>
          <w:trHeight w:val="588" w:hRule="atLeast"/>
          <w:cantSplit w:val="true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commercio mediante apparecchi automatici:</w:t>
            </w:r>
          </w:p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rispettare:</w:t>
            </w:r>
          </w:p>
          <w:p>
            <w:pPr>
              <w:pStyle w:val="Normal"/>
              <w:snapToGrid w:val="false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di polizia urbana</w:t>
            </w:r>
          </w:p>
          <w:p>
            <w:pPr>
              <w:pStyle w:val="Normal"/>
              <w:snapToGrid w:val="false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di igiene e sanità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commercio su area pubblica:</w:t>
            </w:r>
          </w:p>
          <w:p>
            <w:pPr>
              <w:pStyle w:val="Normal"/>
              <w:snapToGrid w:val="false"/>
              <w:spacing w:before="57" w:after="0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 norme relative all’occupazione del suolo pubblico.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Il/la sottoscritto/a si impegna, inoltre, a comunicare con cadenza entro il 31 gennaio di ogni anno (*) al SUAP, che la trasmette all’Azienda per l'assistenza sanitaria, la disinstallazione / installazione di apparecchi automatici che distribuiscono prodotti alimentari.</w:t>
            </w:r>
          </w:p>
        </w:tc>
      </w:tr>
      <w:tr>
        <w:trPr>
          <w:trHeight w:val="1526" w:hRule="atLeast"/>
          <w:cantSplit w:val="true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attività svolta esclusivamente presso il domicilio dei consumatori</w:t>
            </w:r>
          </w:p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Il/la sottoscritto/a dichiara che, nel caso in cui intenderà avvalersi degli incaricati alla vendita, provvederà a:</w:t>
            </w:r>
          </w:p>
          <w:p>
            <w:pPr>
              <w:pStyle w:val="Normal"/>
              <w:snapToGrid w:val="false"/>
              <w:spacing w:before="0" w:after="57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darne comunicazione al SUAP, utilizzando l’apposito Allegato, che la trasmetterà all’autorità di pubblica sicurezza</w:t>
            </w:r>
          </w:p>
          <w:p>
            <w:pPr>
              <w:pStyle w:val="Normal"/>
              <w:snapToGrid w:val="false"/>
              <w:spacing w:before="0" w:after="57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rilasciare loro il tesserino di riconoscimento (art. 19, commi 4, 5 e 6, del D.Lgs. n. 114/1998)</w:t>
            </w:r>
          </w:p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Il/la sottoscritto/a dichiara, inoltre, relativamente ai locali di esercizio, di rispettare:</w:t>
            </w:r>
          </w:p>
          <w:p>
            <w:pPr>
              <w:pStyle w:val="Normal"/>
              <w:snapToGrid w:val="false"/>
              <w:spacing w:before="0" w:after="57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di polizia urbana e annonaria e i regolamenti di igiene e sanità</w:t>
            </w:r>
          </w:p>
        </w:tc>
      </w:tr>
      <w:tr>
        <w:trPr>
          <w:trHeight w:val="614" w:hRule="atLeast"/>
          <w:cantSplit w:val="true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color w:val="999999"/>
                <w:sz w:val="16"/>
                <w:szCs w:val="16"/>
              </w:rPr>
            </w:pPr>
            <w:r>
              <w:rPr>
                <w:rFonts w:cs="Arial" w:ascii="Arial" w:hAnsi="Arial"/>
                <w:color w:val="999999"/>
                <w:sz w:val="16"/>
                <w:szCs w:val="16"/>
              </w:rPr>
              <w:t>Solo per vendita per corrispondenza, TV e altri sistemi di comunicazione, compreso il commercio on-line:</w:t>
            </w:r>
          </w:p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rispettare:</w:t>
            </w:r>
          </w:p>
          <w:p>
            <w:pPr>
              <w:pStyle w:val="Normal"/>
              <w:snapToGrid w:val="false"/>
              <w:ind w:left="170" w:hanging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 regolamenti di polizia urbana e annonaria, di igiene e sanità</w:t>
            </w:r>
          </w:p>
        </w:tc>
      </w:tr>
      <w:tr>
        <w:trPr>
          <w:trHeight w:val="456" w:hRule="atLeast"/>
          <w:cantSplit w:val="true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60"/>
              <w:rPr>
                <w:rFonts w:ascii="Arial" w:hAnsi="Arial"/>
                <w:color w:val="999999"/>
                <w:sz w:val="16"/>
                <w:szCs w:val="16"/>
              </w:rPr>
            </w:pPr>
            <w:r>
              <w:rPr>
                <w:rFonts w:ascii="Arial" w:hAnsi="Arial"/>
                <w:color w:val="999999"/>
                <w:sz w:val="16"/>
                <w:szCs w:val="16"/>
              </w:rPr>
              <w:t>In tutti i casi:</w:t>
            </w:r>
          </w:p>
          <w:p>
            <w:pPr>
              <w:pStyle w:val="Normal"/>
              <w:snapToGrid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impegnarsi a comunicare ogni variazione relativa a stati, fatti, condizioni e titolarità rispetto a quanto dichiarato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>
          <w:trHeight w:val="34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napToGrid w:val="false"/>
              <w:spacing w:before="57" w:after="57"/>
              <w:jc w:val="center"/>
              <w:rPr/>
            </w:pPr>
            <w:r>
              <w:rPr>
                <w:rStyle w:val="Carpredefinitoparagrafo"/>
                <w:rFonts w:cs="Arial" w:ascii="Arial" w:hAnsi="Arial"/>
                <w:b/>
                <w:bCs/>
                <w:sz w:val="16"/>
                <w:szCs w:val="16"/>
              </w:rPr>
              <w:t xml:space="preserve">(*) </w:t>
            </w:r>
            <w:r>
              <w:rPr>
                <w:rStyle w:val="Carpredefinitoparagrafo"/>
                <w:rFonts w:cs="Arial" w:ascii="Arial" w:hAnsi="Arial"/>
                <w:b/>
                <w:color w:val="0000FF"/>
                <w:sz w:val="16"/>
                <w:szCs w:val="16"/>
              </w:rPr>
              <w:t>Dichiarazioni specifiche in materia di gioco lecito (selezionare un'opzione)</w:t>
            </w:r>
            <w:r>
              <w:rPr>
                <w:rStyle w:val="Rimandonotaapidipagina"/>
                <w:rStyle w:val="Rimandonotaapidipagina"/>
                <w:rFonts w:cs="Arial" w:ascii="Arial" w:hAnsi="Arial"/>
                <w:b/>
                <w:color w:val="0000FF"/>
                <w:sz w:val="16"/>
                <w:szCs w:val="16"/>
              </w:rPr>
              <w:footnoteReference w:id="6"/>
            </w:r>
          </w:p>
        </w:tc>
      </w:tr>
      <w:tr>
        <w:trPr>
          <w:trHeight w:val="2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non detenere alcun apparecchio per il gioco lecito</w:t>
            </w:r>
          </w:p>
        </w:tc>
      </w:tr>
      <w:tr>
        <w:trPr>
          <w:trHeight w:val="294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di detenere n. apparecchi per il gioco lecito collegati alla rete telematica SOGEI a una distanza superiore a 500 metri dai luoghi sensibili   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detenere n. apparecchi per il gioco lecito collegati alla rete telematica SOGEI in data anteriore al 3 agosto 2017, a una distanza inferiore a 500 metri dai luoghi sensibili;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b) entro tre anni nel caso di qualsiasi altra attività (3 agosto 2020)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detenere n. apparecchi per il gioco lecito collegati alla rete telematica SOGEI in data anteriore al 3 agosto 2017, a una distanza inferiore a 500 metri dai luoghi sensibili, ma di avvalersi della deroga prevista dall'art.6, comma 11 della L.R. 1/2014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7"/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collocare n. nuovi apparecchi per il gioco lecito a una distanza superiore a 500 metri dai luoghi sensibili</w:t>
            </w:r>
          </w:p>
        </w:tc>
      </w:tr>
      <w:tr>
        <w:trPr>
          <w:trHeight w:val="527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 sostituire apparecchi per il gioco lecito già collegati alla rete telematica SOGEI:</w:t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cui n.   per vetustà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8"/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di cui n.   per guasto</w:t>
            </w:r>
            <w:r>
              <w:rPr>
                <w:rStyle w:val="Rimandonotaapidipagina"/>
                <w:rStyle w:val="Rimandonotaapidipagina"/>
                <w:rFonts w:cs="Arial" w:ascii="Arial" w:hAnsi="Arial"/>
                <w:sz w:val="16"/>
                <w:szCs w:val="16"/>
              </w:rPr>
              <w:footnoteReference w:id="9"/>
            </w:r>
          </w:p>
          <w:p>
            <w:pPr>
              <w:pStyle w:val="Normal"/>
              <w:snapToGrid w:val="false"/>
              <w:spacing w:before="57" w:after="0"/>
              <w:jc w:val="both"/>
              <w:rPr/>
            </w:pP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(</w:t>
            </w:r>
            <w:r>
              <w:rPr>
                <w:rStyle w:val="Carpredefinitoparagrafo"/>
                <w:rFonts w:cs="Arial" w:ascii="Arial" w:hAnsi="Arial"/>
                <w:i/>
                <w:iCs/>
                <w:sz w:val="16"/>
                <w:szCs w:val="16"/>
              </w:rPr>
              <w:t>specificare il motivo della vetustà o guasto come previsto dall'art. 6, comma 6, secondo capoverso della L.R. 1/14</w:t>
            </w:r>
            <w:r>
              <w:rPr>
                <w:rStyle w:val="Rimandonotaapidipagina"/>
                <w:rStyle w:val="Rimandonotaapidipagina"/>
                <w:rFonts w:cs="Arial" w:ascii="Arial" w:hAnsi="Arial"/>
                <w:i/>
                <w:iCs/>
                <w:sz w:val="16"/>
                <w:szCs w:val="16"/>
              </w:rPr>
              <w:footnoteReference w:id="10"/>
            </w:r>
            <w:r>
              <w:rPr>
                <w:rStyle w:val="Carpredefinitoparagrafo"/>
                <w:rFonts w:cs="Arial" w:ascii="Arial" w:hAnsi="Arial"/>
                <w:sz w:val="16"/>
                <w:szCs w:val="16"/>
              </w:rPr>
              <w:t>)</w:t>
            </w:r>
          </w:p>
          <w:p>
            <w:pPr>
              <w:pStyle w:val="Normal"/>
              <w:snapToGrid w:val="false"/>
              <w:spacing w:before="57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collocati a una distanza: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superiore a 500 metri dai luoghi sensibili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inferiore a 500 metri dai luoghi sensibili; in tal caso è consapevole dell'obbligo di rimozione degli apparecchi da gioco, nei termini previsti dall'art. 7 della Legge regionale 17 luglio 2017, n. 26, ovvero: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a) entro cinque anni qualora si tratti di sale da gioco o sale scommesse (3 agosto 2022);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b) entro tre anni nel caso di qualsiasi altra attività (3 agosto 2020)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19" w:type="dxa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353"/>
        <w:gridCol w:w="4266"/>
      </w:tblGrid>
      <w:tr>
        <w:trPr/>
        <w:tc>
          <w:tcPr>
            <w:tcW w:w="9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ind w:left="79" w:right="-85" w:hanging="0"/>
              <w:rPr>
                <w:b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3. Opzioni di firma</w:t>
            </w:r>
          </w:p>
        </w:tc>
      </w:tr>
      <w:tr>
        <w:trPr/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napToGrid w:val="false"/>
              <w:spacing w:before="57" w:after="57"/>
              <w:ind w:left="57" w:right="131" w:hanging="0"/>
              <w:jc w:val="both"/>
              <w:rPr/>
            </w:pP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In caso sia stata conferita procura speciale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, il presente documento è sottoscritto con </w:t>
            </w:r>
            <w:r>
              <w:rPr>
                <w:rStyle w:val="Carpredefinitoparagrafo"/>
                <w:rFonts w:cs="Arial"/>
                <w:b/>
                <w:bCs/>
                <w:sz w:val="16"/>
                <w:szCs w:val="16"/>
              </w:rPr>
              <w:t>firma autografa</w:t>
            </w:r>
            <w:r>
              <w:rPr>
                <w:rStyle w:val="Carpredefinitoparagrafo"/>
                <w:rFonts w:cs="Arial"/>
                <w:sz w:val="16"/>
                <w:szCs w:val="16"/>
              </w:rPr>
              <w:t xml:space="preserve"> dal soggetto delegante e conservato in originale dal procuratore, il quale provvederà a firmare digitalmente il modulo inviato al SUAP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21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9621"/>
      </w:tblGrid>
      <w:tr>
        <w:trPr>
          <w:trHeight w:val="284" w:hRule="atLeast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 seguito dell'Accordo raggiunto sulla modulistica unificata e standardizzata, approvata dalla Conferenza Unificata  in data 4 maggio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  <w:r>
        <w:br w:type="page"/>
      </w:r>
    </w:p>
    <w:p>
      <w:pPr>
        <w:pStyle w:val="Normale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872"/>
        <w:gridCol w:w="5766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Quadro riepilogativo della documentazione allegata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 sistema SUAP in rete propone automaticamente i moduli e gli allegati necessari per il procedimento scelto</w:t>
            </w:r>
          </w:p>
        </w:tc>
      </w:tr>
      <w:tr>
        <w:trPr/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5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38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Procura/delega</w:t>
            </w:r>
          </w:p>
        </w:tc>
        <w:tc>
          <w:tcPr>
            <w:tcW w:w="5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di procura/delega a presentare la segnalazione</w:t>
            </w:r>
          </w:p>
        </w:tc>
      </w:tr>
      <w:tr>
        <w:trPr/>
        <w:tc>
          <w:tcPr>
            <w:tcW w:w="38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Copia del documento di identità del/i titolare/i</w:t>
            </w:r>
          </w:p>
        </w:tc>
        <w:tc>
          <w:tcPr>
            <w:tcW w:w="5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 caso in cui la segnalazione non sia sottoscritta in forma digitale e in assenza di procura</w:t>
            </w:r>
          </w:p>
        </w:tc>
      </w:tr>
      <w:tr>
        <w:trPr/>
        <w:tc>
          <w:tcPr>
            <w:tcW w:w="387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degli altri soci + copia del documento di identità</w:t>
            </w:r>
          </w:p>
        </w:tc>
        <w:tc>
          <w:tcPr>
            <w:tcW w:w="5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soggetti (es. soci) diversi dal dichiarante</w:t>
            </w:r>
          </w:p>
        </w:tc>
      </w:tr>
      <w:tr>
        <w:trPr/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Dichiarazioni sul possesso dei requisiti da parte del preposto + copia del documento di identità</w:t>
            </w:r>
          </w:p>
        </w:tc>
        <w:tc>
          <w:tcPr>
            <w:tcW w:w="5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Sempre, in presenza di un preposto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864"/>
        <w:gridCol w:w="5774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SEGNALAZIONI, COMUNICAZIONI O DOMANDE COLLEGATE (utilizzando il sistema telematico)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Segnalazioni e comunicazioni</w:t>
            </w:r>
          </w:p>
        </w:tc>
      </w:tr>
      <w:tr>
        <w:trPr/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Notifica sanitaria (art. 6, Reg.CE n. 852/2004)</w:t>
            </w:r>
          </w:p>
        </w:tc>
        <w:tc>
          <w:tcPr>
            <w:tcW w:w="5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Sempre obbligatoria in caso di esercizio alimentare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per la vendita di prodotti agricoli e zootecnici, mangimi, prodotti di origine minerale e chimico industriali destinati all’alimentazione animale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prodotti agricoli e zootecnici, mangimi, prodotti di origine minerale e chimico industriali destinati all’alimentazione animale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nomina di incaricati alla vendita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nomina di incaricati alla vendita contestuale all’avvio dell’attività.</w:t>
            </w:r>
          </w:p>
          <w:p>
            <w:pPr>
              <w:pStyle w:val="Normal"/>
              <w:ind w:left="57" w:hanging="0"/>
              <w:rPr>
                <w:rFonts w:ascii="Arial" w:hAnsi="Arial"/>
                <w:i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Analoga comunicazione dovrà essere successivamente inoltrata al SUAP in caso di modifica/integrazione dell’elenco degli incaricati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vendita all'ingrosso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congiunta al dettaglio e all'ingrosso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SCIA prevenzione incendi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esercizio con superficie totale lorda, comprensiva di servizi e depositi (es. magazzini), superiore a 400 mq, o comunque se l’attività ricade in uno qualsiasi dei punti dell’Allegato I al D.P.R. n. 151/2011, ovvero In caso di vendita di gas liquefatti (GPL) in recipienti mobili con quantitativi superiori o uguali a 75 kg, ovvero In caso di vendita di gas infiammabili in recipienti mobili compressi con capacità geometrica Complessiva superiore o uguale a 0,75 mc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Comunicazione per la vendita di farmaci da banco e medicinali veterinari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farmaci da banco o medicinali veterinari</w:t>
            </w:r>
          </w:p>
        </w:tc>
      </w:tr>
      <w:tr>
        <w:trPr>
          <w:trHeight w:val="753" w:hRule="atLeast"/>
        </w:trPr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Autorizzazioni</w:t>
            </w:r>
          </w:p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Il/la sottoscritto/a è consapevole di non poter iniziare l’attività fino al rilascio dei relativi atti di assenso, che verrà comunicato dallo Sportello Unico.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il rilascio dell’autorizzazione per la vendita di prodotti fitosanitari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prodotti fitosanitari</w:t>
            </w:r>
          </w:p>
        </w:tc>
      </w:tr>
      <w:tr>
        <w:trPr/>
        <w:tc>
          <w:tcPr>
            <w:tcW w:w="386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Documentazione per la richiesta dell’autorizzazione di Pubblica Sicurezza per la vendita di oggetti preziosi</w:t>
            </w:r>
          </w:p>
        </w:tc>
        <w:tc>
          <w:tcPr>
            <w:tcW w:w="57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 caso di vendita di oggetti preziosi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5192"/>
        <w:gridCol w:w="4446"/>
      </w:tblGrid>
      <w:tr>
        <w:trPr/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rPr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i w:val="false"/>
                <w:iCs w:val="false"/>
                <w:color w:val="0000FF"/>
                <w:sz w:val="16"/>
                <w:szCs w:val="16"/>
              </w:rPr>
              <w:t>ALTRI ALLEGATI (attestazioni relative al versamento di oneri, diritti, etc. e dell’imposta di bollo)</w:t>
            </w:r>
          </w:p>
        </w:tc>
      </w:tr>
      <w:tr>
        <w:trPr/>
        <w:tc>
          <w:tcPr>
            <w:tcW w:w="51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Denominazione</w:t>
            </w:r>
          </w:p>
        </w:tc>
        <w:tc>
          <w:tcPr>
            <w:tcW w:w="4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Titolo2"/>
              <w:numPr>
                <w:ilvl w:val="1"/>
                <w:numId w:val="1"/>
              </w:numPr>
              <w:tabs>
                <w:tab w:val="left" w:pos="0" w:leader="none"/>
              </w:tabs>
              <w:spacing w:before="57" w:after="57"/>
              <w:ind w:left="0" w:hanging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color w:val="0000FF"/>
                <w:sz w:val="16"/>
                <w:szCs w:val="16"/>
              </w:rPr>
              <w:t>Casi in cui è previsto il documento allegato</w:t>
            </w:r>
          </w:p>
        </w:tc>
      </w:tr>
      <w:tr>
        <w:trPr/>
        <w:tc>
          <w:tcPr>
            <w:tcW w:w="5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Attestazione del versamento di oneri, di diritti, ecc.(*)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Nella misura e con le modalità indicate sul sito dell’amministrazione</w:t>
            </w:r>
          </w:p>
        </w:tc>
      </w:tr>
      <w:tr>
        <w:trPr/>
        <w:tc>
          <w:tcPr>
            <w:tcW w:w="519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Attestazione del versamento dell’imposta di bollo: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estremi del codice identificativo della marca da bollo, che deve essere annullata e conservata dall’interessato;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ovvero</w:t>
            </w:r>
          </w:p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- Assolvimento dell’imposta di bollo con le altre modalità previste, anche in modalità virtuale o tramite @bollo</w:t>
            </w:r>
          </w:p>
        </w:tc>
        <w:tc>
          <w:tcPr>
            <w:tcW w:w="44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ind w:left="57" w:hanging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Obbligatoria per la presentazione di una domanda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PAGE </w:instrText>
    </w:r>
    <w:r>
      <w:fldChar w:fldCharType="separate"/>
    </w:r>
    <w:r>
      <w:t>5</w:t>
    </w:r>
    <w:r>
      <w:fldChar w:fldCharType="end"/>
    </w:r>
    <w:r>
      <w:rPr>
        <w:rStyle w:val="Carpredefinitoparagrafo"/>
        <w:rFonts w:ascii="Arial" w:hAnsi="Arial"/>
        <w:sz w:val="16"/>
        <w:szCs w:val="16"/>
      </w:rPr>
      <w:t>/</w:t>
    </w:r>
    <w:r>
      <w:rPr>
        <w:rStyle w:val="Carpredefinitoparagrafo"/>
        <w:rFonts w:ascii="Arial" w:hAnsi="Arial"/>
        <w:sz w:val="16"/>
        <w:szCs w:val="16"/>
      </w:rPr>
      <w:fldChar w:fldCharType="begin"/>
    </w:r>
    <w:r>
      <w:instrText> NUMPAGES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Le amministrazioni pubbliche, le imprese e i circoli privati, le cooperative di consumo e i loro consorzi, le associazioni di volontariato, le ONLUS, le associazioni e le cooperative senza fini di lucro, possono esercitare la vendita al dettaglio a favore rispettivamente dei propri dipendenti, dei propri soci e dei familiari, in locali non aperti al pubblico, di superficie non superiore a metri quadrati 250 e privi di accesso diretto dalla pubblica via</w:t>
      </w:r>
    </w:p>
  </w:footnote>
  <w:footnote w:id="3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La vendita al dettaglio a mezzo di apparecchi automatici esercitata dalle farmacie deve riguardare esclusivamente i generi speciali compresi nella specifica tabella di cui all'allegato A della L.R. 29/05, con esclusione dei medicinali, e deve essere effettuata esclusivamente all'interno della farmacia o nelle sue immediate adiacenze</w:t>
      </w:r>
    </w:p>
  </w:footnote>
  <w:footnote w:id="4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Ai fini del presente modulo, per "avvio dell’esercizio di vendita mediante apparecchi automatici in altri esercizi commerciali già abilitati o in altre strutture" si intende l'apertura di una azienda che svolgerà l'attività di commercio/somministrazione attraverso l'utilizzo di distributori automatici.</w:t>
      </w:r>
    </w:p>
  </w:footnote>
  <w:footnote w:id="5">
    <w:p>
      <w:pPr>
        <w:pStyle w:val="Normal"/>
        <w:ind w:left="57" w:hanging="0"/>
        <w:rPr/>
      </w:pPr>
      <w:r>
        <w:rPr>
          <w:rStyle w:val="Carpredefinitoparagrafo"/>
          <w:rFonts w:ascii="Arial" w:hAnsi="Arial"/>
          <w:sz w:val="12"/>
          <w:szCs w:val="12"/>
        </w:rPr>
        <w:footnoteRef/>
        <w:tab/>
        <w:t>Per gli stranieri, nella sezione “Comune di nascita” va indicato lo Stato di nascita.</w:t>
      </w:r>
    </w:p>
  </w:footnote>
  <w:footnote w:id="6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 xml:space="preserve">Le dichiarazioni sono rese ai sensi della  legge regionale </w:t>
      </w:r>
      <w:hyperlink r:id="rId1" w:tgtFrame="_top">
        <w:r>
          <w:rPr>
            <w:rStyle w:val="Carpredefinitoparagrafo"/>
            <w:sz w:val="12"/>
            <w:szCs w:val="12"/>
          </w:rPr>
          <w:t xml:space="preserve">14 febbraio 2014, n. 1 </w:t>
        </w:r>
      </w:hyperlink>
      <w:r>
        <w:rPr>
          <w:rStyle w:val="Carpredefinitoparagrafo"/>
          <w:sz w:val="12"/>
          <w:szCs w:val="12"/>
        </w:rPr>
        <w:t>(disposizioni per la prevenzione, il trattamento e il contrasto della dipendenza da gioco d'azzardo, nonché delle problematiche e patologie correlate) e della Legge regionale</w:t>
      </w:r>
      <w:r>
        <w:rPr>
          <w:rStyle w:val="Carpredefinitoparagrafo"/>
          <w:rFonts w:cs="Arial"/>
          <w:sz w:val="12"/>
          <w:szCs w:val="12"/>
        </w:rPr>
        <w:t xml:space="preserve"> </w:t>
      </w:r>
      <w:hyperlink r:id="rId2" w:tgtFrame="_top">
        <w:r>
          <w:rPr>
            <w:rStyle w:val="Carpredefinitoparagrafo"/>
            <w:rFonts w:cs="Arial"/>
            <w:sz w:val="12"/>
            <w:szCs w:val="12"/>
          </w:rPr>
          <w:t>17 luglio 2017, n. 26</w:t>
        </w:r>
      </w:hyperlink>
      <w:r>
        <w:rPr>
          <w:rStyle w:val="Carpredefinitoparagrafo"/>
          <w:rFonts w:cs="Arial"/>
          <w:sz w:val="12"/>
          <w:szCs w:val="12"/>
        </w:rPr>
        <w:t xml:space="preserve"> Modifiche alla legge regionale 14 febbraio 2014, n. 1</w:t>
      </w:r>
    </w:p>
  </w:footnote>
  <w:footnote w:id="7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11. Il divieto di cui al comma 1 non si applica qualora l'insediamento dell'attività qualificata come luogo sensibile ai sensi della presente legge sia successivo alla installazione degli apparecchi per il gioco lecito o all'insediamento dell'attività di raccolta di scommesse</w:t>
      </w:r>
    </w:p>
  </w:footnote>
  <w:footnote w:id="8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"</w:t>
      </w:r>
      <w:r>
        <w:rPr>
          <w:rStyle w:val="Carpredefinitoparagrafo"/>
          <w:b/>
          <w:bCs/>
          <w:sz w:val="12"/>
          <w:szCs w:val="12"/>
        </w:rPr>
        <w:t>vetustà dell'apparecchio per il gioco lecito</w:t>
      </w:r>
      <w:r>
        <w:rPr>
          <w:rStyle w:val="Carpredefinitoparagrafo"/>
          <w:sz w:val="12"/>
          <w:szCs w:val="12"/>
        </w:rPr>
        <w:t>": la sopravvenuta inadeguatezza tecnica dell'apparecchio per il gioco lecito rispetto a requisiti previsti dalla normativa vigente</w:t>
      </w:r>
    </w:p>
  </w:footnote>
  <w:footnote w:id="9">
    <w:p>
      <w:pPr>
        <w:pStyle w:val="Footnote"/>
        <w:rPr/>
      </w:pPr>
      <w:r>
        <w:rPr>
          <w:rStyle w:val="Carpredefinitoparagrafo"/>
          <w:sz w:val="12"/>
          <w:szCs w:val="12"/>
        </w:rPr>
        <w:footnoteRef/>
        <w:tab/>
        <w:t>"</w:t>
      </w:r>
      <w:r>
        <w:rPr>
          <w:rStyle w:val="Carpredefinitoparagrafo"/>
          <w:b/>
          <w:bCs/>
          <w:sz w:val="12"/>
          <w:szCs w:val="12"/>
        </w:rPr>
        <w:t>guasto dell'apparecchio per il gioco lecito</w:t>
      </w:r>
      <w:r>
        <w:rPr>
          <w:rStyle w:val="Carpredefinitoparagrafo"/>
          <w:sz w:val="12"/>
          <w:szCs w:val="12"/>
        </w:rPr>
        <w:t>": il malfunzionamento irreparabile dell'apparecchio per il gioco lecito che lo rende inservibile al suo scopo</w:t>
      </w:r>
    </w:p>
  </w:footnote>
  <w:footnote w:id="10">
    <w:p>
      <w:pPr>
        <w:pStyle w:val="Footnote"/>
        <w:rPr/>
      </w:pPr>
      <w:r>
        <w:rPr/>
        <w:footnoteRef/>
        <w:tab/>
        <w:t xml:space="preserve">Nei casi di cui al comma 4 (cioè sostituzione per vetustà o guasto), la comunicazione </w:t>
      </w:r>
      <w:r>
        <w:rPr>
          <w:rStyle w:val="Carpredefinitoparagrafo"/>
          <w:b/>
          <w:bCs/>
        </w:rPr>
        <w:t>specifica le cause che rendono necessaria la sostituzione degli apparecchi</w:t>
      </w:r>
      <w:r>
        <w:rPr/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6"/>
        <w:szCs w:val="16"/>
      </w:rPr>
      <w:t>B3 - Forme speciali di vendita</w:t>
    </w:r>
  </w:p>
  <w:p>
    <w:pPr>
      <w:pStyle w:val="Normal"/>
      <w:rPr>
        <w:rFonts w:ascii="Arial" w:hAnsi="Arial"/>
        <w:b/>
        <w:b/>
        <w:bCs/>
        <w:color w:val="999999"/>
        <w:sz w:val="16"/>
        <w:szCs w:val="16"/>
      </w:rPr>
    </w:pPr>
    <w:r>
      <w:rPr>
        <w:rFonts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>
        <w:rStyle w:val="Carpredefinitoparagrafo"/>
        <w:rFonts w:cs="Arial" w:ascii="Arial" w:hAnsi="Arial"/>
        <w:b/>
        <w:bCs/>
        <w:color w:val="999999"/>
        <w:sz w:val="16"/>
        <w:szCs w:val="16"/>
      </w:rPr>
      <w:t>B3 - Forme speciali di vendita</w:t>
    </w:r>
  </w:p>
  <w:p>
    <w:pPr>
      <w:pStyle w:val="Normal"/>
      <w:rPr>
        <w:rFonts w:ascii="Arial" w:hAnsi="Arial"/>
        <w:b/>
        <w:b/>
        <w:bCs/>
        <w:color w:val="999999"/>
        <w:sz w:val="16"/>
        <w:szCs w:val="16"/>
      </w:rPr>
    </w:pPr>
    <w:r>
      <w:rPr>
        <w:rFonts w:ascii="Arial" w:hAnsi="Arial"/>
        <w:b/>
        <w:bCs/>
        <w:color w:val="999999"/>
        <w:sz w:val="16"/>
        <w:szCs w:val="16"/>
      </w:rPr>
      <w:t>Data ultima versione del modello: 29/03/2018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ito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NumberingSymbols">
    <w:name w:val="Numbering Symbols"/>
    <w:qFormat/>
    <w:rPr/>
  </w:style>
  <w:style w:type="character" w:styleId="WW8Num3z0">
    <w:name w:val="WW8Num3z0"/>
    <w:qFormat/>
    <w:rPr>
      <w:rFonts w:ascii="Symbol" w:hAnsi="Symbol"/>
    </w:rPr>
  </w:style>
  <w:style w:type="character" w:styleId="StrongEmphasis">
    <w:name w:val="Strong Emphasis"/>
    <w:qFormat/>
    <w:rPr>
      <w:b/>
      <w:bCs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position w:val="24"/>
      <w:sz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InternetLink">
    <w:name w:val="Internet Link"/>
    <w:rPr>
      <w:color w:val="000080"/>
      <w:u w:val="single"/>
    </w:rPr>
  </w:style>
  <w:style w:type="character" w:styleId="WWCharLFO3LVL1">
    <w:name w:val="WW_CharLFO3LVL1"/>
    <w:qFormat/>
    <w:rPr>
      <w:rFonts w:ascii="Symbol" w:hAnsi="Symbol"/>
    </w:rPr>
  </w:style>
  <w:style w:type="character" w:styleId="Rimandonotaapidipagina">
    <w:name w:val="Rimando nota a piè di pagina"/>
    <w:basedOn w:val="Carpredefinitoparagrafo"/>
    <w:qFormat/>
    <w:rPr>
      <w:position w:val="24"/>
      <w:sz w:val="16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Titolo1">
    <w:name w:val="Titolo 1"/>
    <w:basedOn w:val="Heading"/>
    <w:next w:val="TextBody"/>
    <w:qFormat/>
    <w:pPr>
      <w:numPr>
        <w:ilvl w:val="0"/>
        <w:numId w:val="1"/>
      </w:numPr>
      <w:suppressAutoHyphens w:val="true"/>
      <w:outlineLvl w:val="0"/>
    </w:pPr>
    <w:rPr>
      <w:b/>
      <w:bCs/>
      <w:color w:val="FF3333"/>
    </w:rPr>
  </w:style>
  <w:style w:type="paragraph" w:styleId="Titolo2">
    <w:name w:val="Titolo 2"/>
    <w:basedOn w:val="Heading"/>
    <w:next w:val="TextBody"/>
    <w:qFormat/>
    <w:pPr>
      <w:numPr>
        <w:ilvl w:val="1"/>
        <w:numId w:val="1"/>
      </w:numPr>
      <w:suppressAutoHyphens w:val="true"/>
      <w:outlineLvl w:val="1"/>
    </w:pPr>
    <w:rPr>
      <w:b/>
      <w:bCs/>
      <w:i/>
      <w:iCs/>
    </w:rPr>
  </w:style>
  <w:style w:type="paragraph" w:styleId="Titolo3">
    <w:name w:val="Titolo 3"/>
    <w:basedOn w:val="Heading"/>
    <w:next w:val="TextBody"/>
    <w:qFormat/>
    <w:pPr>
      <w:numPr>
        <w:ilvl w:val="2"/>
        <w:numId w:val="1"/>
      </w:numPr>
      <w:suppressAutoHyphens w:val="true"/>
      <w:spacing w:before="0" w:after="0"/>
      <w:textAlignment w:val="center"/>
      <w:outlineLvl w:val="2"/>
    </w:pPr>
    <w:rPr>
      <w:b/>
      <w:bCs/>
    </w:rPr>
  </w:style>
  <w:style w:type="paragraph" w:styleId="Titolo7">
    <w:name w:val="Titolo 7"/>
    <w:basedOn w:val="Normal"/>
    <w:next w:val="Normal"/>
    <w:qFormat/>
    <w:pPr>
      <w:keepNext w:val="true"/>
      <w:numPr>
        <w:ilvl w:val="6"/>
        <w:numId w:val="1"/>
      </w:numPr>
      <w:tabs>
        <w:tab w:val="left" w:pos="1980" w:leader="none"/>
      </w:tabs>
      <w:suppressAutoHyphens w:val="true"/>
      <w:jc w:val="center"/>
      <w:outlineLvl w:val="6"/>
    </w:pPr>
    <w:rPr>
      <w:i/>
      <w:iCs/>
      <w:sz w:val="20"/>
    </w:rPr>
  </w:style>
  <w:style w:type="paragraph" w:styleId="Titolo8">
    <w:name w:val="Titolo 8"/>
    <w:basedOn w:val="Heading"/>
    <w:next w:val="TextBody"/>
    <w:qFormat/>
    <w:pPr>
      <w:numPr>
        <w:ilvl w:val="7"/>
        <w:numId w:val="1"/>
      </w:numPr>
      <w:suppressAutoHyphens w:val="true"/>
      <w:outlineLvl w:val="7"/>
    </w:pPr>
    <w:rPr>
      <w:b/>
      <w:bCs/>
    </w:rPr>
  </w:style>
  <w:style w:type="paragraph" w:styleId="Titolo9">
    <w:name w:val="Titolo 9"/>
    <w:basedOn w:val="Heading"/>
    <w:next w:val="TextBody"/>
    <w:qFormat/>
    <w:pPr>
      <w:numPr>
        <w:ilvl w:val="8"/>
        <w:numId w:val="1"/>
      </w:numPr>
      <w:suppressAutoHyphens w:val="true"/>
      <w:outlineLvl w:val="8"/>
    </w:pPr>
    <w:rPr>
      <w:b/>
      <w:bCs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TextBody">
    <w:name w:val="Body Text"/>
    <w:basedOn w:val="Normal"/>
    <w:pPr>
      <w:suppressAutoHyphens w:val="true"/>
      <w:spacing w:before="0" w:after="120"/>
    </w:pPr>
    <w:rPr/>
  </w:style>
  <w:style w:type="paragraph" w:styleId="Elenco">
    <w:name w:val="Elenco"/>
    <w:basedOn w:val="TextBody"/>
    <w:qFormat/>
    <w:pPr>
      <w:suppressAutoHyphens w:val="true"/>
    </w:pPr>
    <w:rPr>
      <w:rFonts w:cs="Tahoma"/>
    </w:rPr>
  </w:style>
  <w:style w:type="paragraph" w:styleId="Didascalia">
    <w:name w:val="Didascalia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Tahoma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>
      <w:rFonts w:ascii="Arial" w:hAnsi="Arial"/>
      <w:sz w:val="20"/>
    </w:rPr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Heading10">
    <w:name w:val="Heading 10"/>
    <w:basedOn w:val="Heading"/>
    <w:next w:val="TextBody"/>
    <w:qFormat/>
    <w:pPr>
      <w:suppressAutoHyphens w:val="true"/>
    </w:pPr>
    <w:rPr>
      <w:b/>
      <w:bCs/>
    </w:rPr>
  </w:style>
  <w:style w:type="paragraph" w:styleId="Pidipagina">
    <w:name w:val="Piè di pagina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Intestazione">
    <w:name w:val="Intestazione"/>
    <w:basedOn w:val="Normal"/>
    <w:qFormat/>
    <w:pPr>
      <w:suppressLineNumbers/>
      <w:tabs>
        <w:tab w:val="center" w:pos="4819" w:leader="none"/>
        <w:tab w:val="right" w:pos="9638" w:leader="none"/>
      </w:tabs>
      <w:suppressAutoHyphens w:val="true"/>
    </w:pPr>
    <w:rPr/>
  </w:style>
  <w:style w:type="paragraph" w:styleId="Footnote">
    <w:name w:val="Footnote Text"/>
    <w:basedOn w:val="Normal"/>
    <w:pPr>
      <w:suppressLineNumbers/>
      <w:suppressAutoHyphens w:val="true"/>
      <w:ind w:left="283" w:hanging="283"/>
    </w:pPr>
    <w:rPr>
      <w:rFonts w:ascii="Arial" w:hAnsi="Arial"/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umbering1">
    <w:name w:val="Numbering 1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://lexview-int.regione.fvg.it/fontinormative/xml/xmlLex.aspx?anno=2014&amp;legge=1&amp;lista=0&amp;fx=lex" TargetMode="External"/><Relationship Id="rId2" Type="http://schemas.openxmlformats.org/officeDocument/2006/relationships/hyperlink" Target="http://lexview-int.regione.fvg.it/FontiNormative/xml/xmlLex.aspx?anno=2017&amp;legge=26&amp;ID=art7&amp;lista=0&amp;fx=lex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LibreOffice/5.3.6.1$Linux_X86_64 LibreOffice_project/30$Build-1</Application>
  <Pages>6</Pages>
  <Words>1996</Words>
  <Characters>11382</Characters>
  <CharactersWithSpaces>13352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2012-11-28T09:45:00Z</dcterms:created>
  <dc:creator>Livio Metton</dc:creator>
  <dc:description>Versione 1.0</dc:description>
  <dc:language>en-US</dc:language>
  <cp:lastModifiedBy>Andrea Piredda</cp:lastModifiedBy>
  <cp:lastPrinted>2013-07-09T17:03:00Z</cp:lastPrinted>
  <dcterms:modified xsi:type="dcterms:W3CDTF">2018-04-27T09:25:00Z</dcterms:modified>
  <cp:revision>359</cp:revision>
  <dc:subject/>
  <dc:title/>
</cp:coreProperties>
</file>